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644E" w14:textId="77777777" w:rsidR="004B0CA3" w:rsidRDefault="0082363B" w:rsidP="00497C9F">
      <w:pPr>
        <w:pStyle w:val="Heading1"/>
      </w:pPr>
      <w:r>
        <w:t xml:space="preserve">DREAMS BUSINESS </w:t>
      </w:r>
      <w:proofErr w:type="gramStart"/>
      <w:r>
        <w:t>RESOURCES  •</w:t>
      </w:r>
      <w:proofErr w:type="gramEnd"/>
      <w:r>
        <w:t xml:space="preserve">  FIELD GUIDE</w:t>
      </w:r>
    </w:p>
    <w:p w14:paraId="6758EF8E" w14:textId="77777777" w:rsidR="004B0CA3" w:rsidRDefault="0082363B">
      <w:pPr>
        <w:keepNext/>
        <w:keepLines/>
        <w:shd w:val="clear" w:color="auto" w:fill="071B33"/>
        <w:spacing w:before="40" w:after="200" w:line="228" w:lineRule="auto"/>
      </w:pPr>
      <w:r>
        <w:rPr>
          <w:rFonts w:eastAsia="Calibri" w:cs="Calibri"/>
          <w:b/>
          <w:color w:val="FFFFFF"/>
          <w:sz w:val="62"/>
        </w:rPr>
        <w:t>Finding the Businesses</w:t>
      </w:r>
      <w:r>
        <w:rPr>
          <w:rFonts w:eastAsia="Calibri" w:cs="Calibri"/>
          <w:b/>
          <w:color w:val="FFFFFF"/>
          <w:sz w:val="62"/>
        </w:rPr>
        <w:br/>
        <w:t>That Paid Tariffs</w:t>
      </w:r>
    </w:p>
    <w:p w14:paraId="59EB1804" w14:textId="77777777" w:rsidR="004B0CA3" w:rsidRDefault="0082363B">
      <w:pPr>
        <w:keepNext/>
        <w:shd w:val="clear" w:color="auto" w:fill="071B33"/>
        <w:spacing w:after="360" w:line="283" w:lineRule="auto"/>
      </w:pPr>
      <w:r>
        <w:rPr>
          <w:rFonts w:eastAsia="Calibri" w:cs="Calibri"/>
          <w:color w:val="CBEFF1"/>
          <w:sz w:val="27"/>
        </w:rPr>
        <w:t>A practical prospecting strategy for ports, border crossings, cargo hubs, customs brokers, trade associations and importers of record.</w:t>
      </w:r>
    </w:p>
    <w:p w14:paraId="2B052DD7" w14:textId="77777777" w:rsidR="004B0CA3" w:rsidRDefault="0082363B">
      <w:pPr>
        <w:keepLines/>
        <w:pBdr>
          <w:left w:val="single" w:sz="22" w:space="8" w:color="F4B942"/>
        </w:pBdr>
        <w:shd w:val="clear" w:color="auto" w:fill="FFF6DF"/>
        <w:spacing w:before="40" w:after="280" w:line="288" w:lineRule="auto"/>
        <w:ind w:left="173" w:right="115"/>
      </w:pPr>
      <w:r>
        <w:rPr>
          <w:rFonts w:eastAsia="Calibri" w:cs="Calibri"/>
          <w:b/>
          <w:color w:val="F4B942"/>
          <w:sz w:val="19"/>
        </w:rPr>
        <w:t xml:space="preserve">CORE STRATEGY  </w:t>
      </w:r>
      <w:r>
        <w:rPr>
          <w:rFonts w:eastAsia="Calibri" w:cs="Calibri"/>
          <w:sz w:val="21"/>
        </w:rPr>
        <w:t>Use freight gateways to find the ecosystem. Use importer-of-record data to find the business that actually paid the duty.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B0CA3" w14:paraId="12E9C5F8" w14:textId="77777777">
        <w:trPr>
          <w:tblHeader/>
        </w:trPr>
        <w:tc>
          <w:tcPr>
            <w:tcW w:w="3120" w:type="dxa"/>
            <w:tcBorders>
              <w:top w:val="single" w:sz="8" w:space="0" w:color="14B8A6"/>
              <w:left w:val="single" w:sz="8" w:space="0" w:color="14B8A6"/>
              <w:bottom w:val="single" w:sz="8" w:space="0" w:color="14B8A6"/>
              <w:right w:val="single" w:sz="8" w:space="0" w:color="14B8A6"/>
            </w:tcBorders>
            <w:shd w:val="clear" w:color="auto" w:fill="E8F8F5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0BC6986" w14:textId="77777777" w:rsidR="004B0CA3" w:rsidRDefault="0082363B">
            <w:pPr>
              <w:spacing w:after="40" w:line="240" w:lineRule="auto"/>
              <w:jc w:val="center"/>
            </w:pPr>
            <w:r>
              <w:rPr>
                <w:rFonts w:eastAsia="Calibri" w:cs="Calibri"/>
                <w:b/>
                <w:color w:val="071B33"/>
                <w:sz w:val="36"/>
              </w:rPr>
              <w:t>1,500+</w:t>
            </w:r>
          </w:p>
          <w:p w14:paraId="5728FA0B" w14:textId="77777777" w:rsidR="004B0CA3" w:rsidRDefault="0082363B">
            <w:pPr>
              <w:spacing w:after="0" w:line="252" w:lineRule="auto"/>
              <w:jc w:val="center"/>
            </w:pPr>
            <w:r>
              <w:rPr>
                <w:rFonts w:eastAsia="Calibri" w:cs="Calibri"/>
                <w:b/>
                <w:color w:val="5E7182"/>
                <w:sz w:val="17"/>
              </w:rPr>
              <w:t>NCBFAA member companies</w:t>
            </w:r>
          </w:p>
        </w:tc>
        <w:tc>
          <w:tcPr>
            <w:tcW w:w="3120" w:type="dxa"/>
            <w:tcBorders>
              <w:top w:val="single" w:sz="8" w:space="0" w:color="F4B942"/>
              <w:left w:val="single" w:sz="8" w:space="0" w:color="F4B942"/>
              <w:bottom w:val="single" w:sz="8" w:space="0" w:color="F4B942"/>
              <w:right w:val="single" w:sz="8" w:space="0" w:color="F4B942"/>
            </w:tcBorders>
            <w:shd w:val="clear" w:color="auto" w:fill="FFF6D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A0D52F5" w14:textId="77777777" w:rsidR="004B0CA3" w:rsidRDefault="0082363B">
            <w:pPr>
              <w:spacing w:after="40" w:line="240" w:lineRule="auto"/>
              <w:jc w:val="center"/>
            </w:pPr>
            <w:r>
              <w:rPr>
                <w:rFonts w:eastAsia="Calibri" w:cs="Calibri"/>
                <w:b/>
                <w:color w:val="071B33"/>
                <w:sz w:val="36"/>
              </w:rPr>
              <w:t>250,000+</w:t>
            </w:r>
          </w:p>
          <w:p w14:paraId="4C3479F0" w14:textId="77777777" w:rsidR="004B0CA3" w:rsidRDefault="0082363B">
            <w:pPr>
              <w:spacing w:after="0" w:line="252" w:lineRule="auto"/>
              <w:jc w:val="center"/>
            </w:pPr>
            <w:r>
              <w:rPr>
                <w:rFonts w:eastAsia="Calibri" w:cs="Calibri"/>
                <w:b/>
                <w:color w:val="5E7182"/>
                <w:sz w:val="17"/>
              </w:rPr>
              <w:t>importers and exporters served</w:t>
            </w:r>
          </w:p>
        </w:tc>
        <w:tc>
          <w:tcPr>
            <w:tcW w:w="3120" w:type="dxa"/>
            <w:tcBorders>
              <w:top w:val="single" w:sz="8" w:space="0" w:color="14B8A6"/>
              <w:left w:val="single" w:sz="8" w:space="0" w:color="14B8A6"/>
              <w:bottom w:val="single" w:sz="8" w:space="0" w:color="14B8A6"/>
              <w:right w:val="single" w:sz="8" w:space="0" w:color="14B8A6"/>
            </w:tcBorders>
            <w:shd w:val="clear" w:color="auto" w:fill="E8F8F5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436CC79" w14:textId="77777777" w:rsidR="004B0CA3" w:rsidRDefault="0082363B">
            <w:pPr>
              <w:spacing w:after="40" w:line="240" w:lineRule="auto"/>
              <w:jc w:val="center"/>
            </w:pPr>
            <w:r>
              <w:rPr>
                <w:rFonts w:eastAsia="Calibri" w:cs="Calibri"/>
                <w:b/>
                <w:color w:val="071B33"/>
                <w:sz w:val="36"/>
              </w:rPr>
              <w:t>97%+</w:t>
            </w:r>
          </w:p>
          <w:p w14:paraId="154F0119" w14:textId="77777777" w:rsidR="004B0CA3" w:rsidRDefault="0082363B">
            <w:pPr>
              <w:spacing w:after="0" w:line="252" w:lineRule="auto"/>
              <w:jc w:val="center"/>
            </w:pPr>
            <w:r>
              <w:rPr>
                <w:rFonts w:eastAsia="Calibri" w:cs="Calibri"/>
                <w:b/>
                <w:color w:val="5E7182"/>
                <w:sz w:val="17"/>
              </w:rPr>
              <w:t>of U.S. import entries handled</w:t>
            </w:r>
          </w:p>
        </w:tc>
      </w:tr>
    </w:tbl>
    <w:p w14:paraId="2D5C832D" w14:textId="77777777" w:rsidR="004B0CA3" w:rsidRDefault="0082363B">
      <w:pPr>
        <w:spacing w:before="80" w:after="280" w:line="240" w:lineRule="auto"/>
      </w:pPr>
      <w:r>
        <w:rPr>
          <w:rFonts w:eastAsia="Calibri" w:cs="Calibri"/>
          <w:i/>
          <w:color w:val="5E7182"/>
          <w:sz w:val="15"/>
        </w:rPr>
        <w:t>Source: NCBFAA membership information. Figures describe the broader customs-broker ecosystem, not guaranteed DBR prospects.</w:t>
      </w:r>
    </w:p>
    <w:p w14:paraId="51212525" w14:textId="77777777" w:rsidR="004B0CA3" w:rsidRDefault="0082363B">
      <w:pPr>
        <w:keepNext/>
        <w:spacing w:after="100" w:line="240" w:lineRule="auto"/>
      </w:pPr>
      <w:r>
        <w:rPr>
          <w:rFonts w:eastAsia="Calibri" w:cs="Calibri"/>
          <w:b/>
          <w:caps/>
          <w:color w:val="14B8A6"/>
          <w:sz w:val="17"/>
        </w:rPr>
        <w:t>INSIDE THIS GUIDE</w:t>
      </w:r>
    </w:p>
    <w:p w14:paraId="7F9AE76F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The crucial difference between a freight gateway and the importer of record</w:t>
      </w:r>
    </w:p>
    <w:p w14:paraId="74AD9C36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The highest-value geographic clusters and partner channels</w:t>
      </w:r>
    </w:p>
    <w:p w14:paraId="434EAC71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A data-driven importer prospecting system</w:t>
      </w:r>
    </w:p>
    <w:p w14:paraId="3C3A4963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Associations, groups and upcoming 2026 events</w:t>
      </w:r>
    </w:p>
    <w:p w14:paraId="231E28BE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Creative campaigns, a 30-day launch plan and compliance guardrails</w:t>
      </w:r>
    </w:p>
    <w:p w14:paraId="570DC954" w14:textId="77777777" w:rsidR="004B0CA3" w:rsidRDefault="0082363B">
      <w:pPr>
        <w:spacing w:before="160" w:after="0" w:line="240" w:lineRule="auto"/>
        <w:jc w:val="right"/>
      </w:pPr>
      <w:r>
        <w:rPr>
          <w:rFonts w:eastAsia="Calibri" w:cs="Calibri"/>
          <w:b/>
          <w:color w:val="071B33"/>
          <w:sz w:val="18"/>
        </w:rPr>
        <w:t>Prepared July 21, 2026</w:t>
      </w:r>
    </w:p>
    <w:p w14:paraId="46F18038" w14:textId="77777777" w:rsidR="004B0CA3" w:rsidRDefault="0082363B">
      <w:r>
        <w:br w:type="page"/>
      </w:r>
    </w:p>
    <w:p w14:paraId="39D0C2FB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EXECUTIVE TAKEAWAY</w:t>
      </w:r>
    </w:p>
    <w:p w14:paraId="18D4DA79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Yes—but geography is only half the strategy</w:t>
      </w:r>
    </w:p>
    <w:p w14:paraId="38CE0BC8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Ports and border crossings are powerful prospecting ecosystems. The actual payer may be headquartered far away.</w:t>
      </w:r>
    </w:p>
    <w:p w14:paraId="53A6B77F" w14:textId="77777777" w:rsidR="004B0CA3" w:rsidRDefault="0082363B">
      <w:pPr>
        <w:keepLines/>
        <w:pBdr>
          <w:left w:val="single" w:sz="22" w:space="8" w:color="14B8A6"/>
        </w:pBdr>
        <w:shd w:val="clear" w:color="auto" w:fill="E8F8F5"/>
        <w:spacing w:before="40" w:after="200" w:line="288" w:lineRule="auto"/>
        <w:ind w:left="173" w:right="115"/>
      </w:pPr>
      <w:r>
        <w:rPr>
          <w:rFonts w:eastAsia="Calibri" w:cs="Calibri"/>
          <w:b/>
          <w:color w:val="14B8A6"/>
          <w:sz w:val="19"/>
        </w:rPr>
        <w:t xml:space="preserve">MOST IMPORTANT DISTINCTION  </w:t>
      </w:r>
      <w:r>
        <w:rPr>
          <w:rFonts w:eastAsia="Calibri" w:cs="Calibri"/>
          <w:sz w:val="21"/>
        </w:rPr>
        <w:t>The best direct prospect is normally the importer of record—the company legally responsible for the duties—not simply a business located near the port.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900"/>
        <w:gridCol w:w="5460"/>
      </w:tblGrid>
      <w:tr w:rsidR="004B0CA3" w14:paraId="7356D4B8" w14:textId="77777777">
        <w:trPr>
          <w:tblHeader/>
        </w:trPr>
        <w:tc>
          <w:tcPr>
            <w:tcW w:w="39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DA53AF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Where freight enters</w:t>
            </w:r>
          </w:p>
        </w:tc>
        <w:tc>
          <w:tcPr>
            <w:tcW w:w="546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9448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Who may have paid the duty</w:t>
            </w:r>
          </w:p>
        </w:tc>
      </w:tr>
      <w:tr w:rsidR="004B0CA3" w14:paraId="057881D1" w14:textId="77777777">
        <w:tc>
          <w:tcPr>
            <w:tcW w:w="3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2B836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9"/>
              </w:rPr>
              <w:t>Port, border crossing or cargo airport</w:t>
            </w:r>
          </w:p>
        </w:tc>
        <w:tc>
          <w:tcPr>
            <w:tcW w:w="5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5D5AFD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9"/>
              </w:rPr>
              <w:t>Importer of record shown on the customs entry</w:t>
            </w:r>
          </w:p>
        </w:tc>
      </w:tr>
      <w:tr w:rsidR="004B0CA3" w14:paraId="2DC3F926" w14:textId="77777777">
        <w:tc>
          <w:tcPr>
            <w:tcW w:w="3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18E39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9"/>
              </w:rPr>
              <w:t>Customs broker, forwarder and warehouse cluster</w:t>
            </w:r>
          </w:p>
        </w:tc>
        <w:tc>
          <w:tcPr>
            <w:tcW w:w="5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E05906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9"/>
              </w:rPr>
              <w:t>Company responsible for payment and compliance</w:t>
            </w:r>
          </w:p>
        </w:tc>
      </w:tr>
      <w:tr w:rsidR="004B0CA3" w14:paraId="2FA80145" w14:textId="77777777">
        <w:tc>
          <w:tcPr>
            <w:tcW w:w="3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39E29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9"/>
              </w:rPr>
              <w:t>Excellent place to find referral multipliers</w:t>
            </w:r>
          </w:p>
        </w:tc>
        <w:tc>
          <w:tcPr>
            <w:tcW w:w="5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B6DF7A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9"/>
              </w:rPr>
              <w:t>Best target for direct refund qualification</w:t>
            </w:r>
          </w:p>
        </w:tc>
      </w:tr>
      <w:tr w:rsidR="004B0CA3" w14:paraId="027EEC48" w14:textId="77777777">
        <w:tc>
          <w:tcPr>
            <w:tcW w:w="3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458583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9"/>
              </w:rPr>
              <w:t>Useful geographic signal</w:t>
            </w:r>
          </w:p>
        </w:tc>
        <w:tc>
          <w:tcPr>
            <w:tcW w:w="5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1FDD71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9"/>
              </w:rPr>
              <w:t>Essential legal and financial signal</w:t>
            </w:r>
          </w:p>
        </w:tc>
      </w:tr>
    </w:tbl>
    <w:p w14:paraId="5A3B2A6C" w14:textId="77777777" w:rsidR="004B0CA3" w:rsidRDefault="004B0CA3">
      <w:pPr>
        <w:spacing w:after="40"/>
      </w:pPr>
    </w:p>
    <w:p w14:paraId="2AD747C8" w14:textId="77777777" w:rsidR="004B0CA3" w:rsidRDefault="0082363B">
      <w:pPr>
        <w:pStyle w:val="Heading2"/>
      </w:pPr>
      <w:r>
        <w:t>Opportunity map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4950"/>
        <w:gridCol w:w="1710"/>
      </w:tblGrid>
      <w:tr w:rsidR="004B0CA3" w14:paraId="3E0C6839" w14:textId="77777777">
        <w:trPr>
          <w:tblHeader/>
        </w:trPr>
        <w:tc>
          <w:tcPr>
            <w:tcW w:w="27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E98645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Target ecosystem</w:t>
            </w:r>
          </w:p>
        </w:tc>
        <w:tc>
          <w:tcPr>
            <w:tcW w:w="495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D0CAE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Best use</w:t>
            </w:r>
          </w:p>
        </w:tc>
        <w:tc>
          <w:tcPr>
            <w:tcW w:w="171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04BE7B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Priority</w:t>
            </w:r>
          </w:p>
        </w:tc>
      </w:tr>
      <w:tr w:rsidR="004B0CA3" w14:paraId="4138E3A9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072FF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Licensed customs brokers</w:t>
            </w:r>
          </w:p>
        </w:tc>
        <w:tc>
          <w:tcPr>
            <w:tcW w:w="49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C9029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Referral partnerships and access to many importers</w:t>
            </w:r>
          </w:p>
        </w:tc>
        <w:tc>
          <w:tcPr>
            <w:tcW w:w="17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74E9C5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HIGHEST</w:t>
            </w:r>
          </w:p>
        </w:tc>
      </w:tr>
      <w:tr w:rsidR="004B0CA3" w14:paraId="01171B5B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82B3F8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Verified importers of record</w:t>
            </w:r>
          </w:p>
        </w:tc>
        <w:tc>
          <w:tcPr>
            <w:tcW w:w="49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3F0850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Direct CFO and trade-leader outreach</w:t>
            </w:r>
          </w:p>
        </w:tc>
        <w:tc>
          <w:tcPr>
            <w:tcW w:w="17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2EA907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HIGHEST</w:t>
            </w:r>
          </w:p>
        </w:tc>
      </w:tr>
      <w:tr w:rsidR="004B0CA3" w14:paraId="19ECB057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81332B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Seaports and land crossings</w:t>
            </w:r>
          </w:p>
        </w:tc>
        <w:tc>
          <w:tcPr>
            <w:tcW w:w="49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94F2E7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Brokers, FTZs, warehouses and import clusters</w:t>
            </w:r>
          </w:p>
        </w:tc>
        <w:tc>
          <w:tcPr>
            <w:tcW w:w="17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377E15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HIGH</w:t>
            </w:r>
          </w:p>
        </w:tc>
      </w:tr>
      <w:tr w:rsidR="004B0CA3" w14:paraId="6BE78F9C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35C2B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Industry associations</w:t>
            </w:r>
          </w:p>
        </w:tc>
        <w:tc>
          <w:tcPr>
            <w:tcW w:w="49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7C8AE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Concentrated groups of similar importers</w:t>
            </w:r>
          </w:p>
        </w:tc>
        <w:tc>
          <w:tcPr>
            <w:tcW w:w="17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EA7DC4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HIGH</w:t>
            </w:r>
          </w:p>
        </w:tc>
      </w:tr>
      <w:tr w:rsidR="004B0CA3" w14:paraId="5AF311E7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7D317C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Chambers near gateways</w:t>
            </w:r>
          </w:p>
        </w:tc>
        <w:tc>
          <w:tcPr>
            <w:tcW w:w="49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E0256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Education, introductions and credibility</w:t>
            </w:r>
          </w:p>
        </w:tc>
        <w:tc>
          <w:tcPr>
            <w:tcW w:w="17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07EBEF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MEDIUM</w:t>
            </w:r>
          </w:p>
        </w:tc>
      </w:tr>
      <w:tr w:rsidR="004B0CA3" w14:paraId="7CFF2313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02C23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International cargo airports</w:t>
            </w:r>
          </w:p>
        </w:tc>
        <w:tc>
          <w:tcPr>
            <w:tcW w:w="49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E12553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High-value and time-sensitive products</w:t>
            </w:r>
          </w:p>
        </w:tc>
        <w:tc>
          <w:tcPr>
            <w:tcW w:w="17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61B239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MEDIUM</w:t>
            </w:r>
          </w:p>
        </w:tc>
      </w:tr>
      <w:tr w:rsidR="004B0CA3" w14:paraId="1B10061A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F17F18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Passenger airline hubs</w:t>
            </w:r>
          </w:p>
        </w:tc>
        <w:tc>
          <w:tcPr>
            <w:tcW w:w="49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A5AAD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Often weak connection to tariff payers</w:t>
            </w:r>
          </w:p>
        </w:tc>
        <w:tc>
          <w:tcPr>
            <w:tcW w:w="17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97BBE5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LOW</w:t>
            </w:r>
          </w:p>
        </w:tc>
      </w:tr>
    </w:tbl>
    <w:p w14:paraId="50C6D8FA" w14:textId="77777777" w:rsidR="004B0CA3" w:rsidRDefault="004B0CA3">
      <w:pPr>
        <w:spacing w:after="40"/>
      </w:pPr>
    </w:p>
    <w:p w14:paraId="777EDE3C" w14:textId="77777777" w:rsidR="004B0CA3" w:rsidRDefault="0082363B">
      <w:pPr>
        <w:keepLines/>
        <w:pBdr>
          <w:left w:val="single" w:sz="22" w:space="8" w:color="0EA5C6"/>
        </w:pBdr>
        <w:shd w:val="clear" w:color="auto" w:fill="EAF4FA"/>
        <w:spacing w:before="40" w:after="200" w:line="288" w:lineRule="auto"/>
        <w:ind w:left="173" w:right="115"/>
      </w:pPr>
      <w:r>
        <w:rPr>
          <w:rFonts w:eastAsia="Calibri" w:cs="Calibri"/>
          <w:b/>
          <w:color w:val="0EA5C6"/>
          <w:sz w:val="19"/>
        </w:rPr>
        <w:t xml:space="preserve">AIR-CARGO RULE  </w:t>
      </w:r>
      <w:r>
        <w:rPr>
          <w:rFonts w:eastAsia="Calibri" w:cs="Calibri"/>
          <w:sz w:val="21"/>
        </w:rPr>
        <w:t>Target international cargo gateways—not airports that merely move lots of passengers. People fly through terminals; tariffs generally arrive in cargo holds.</w:t>
      </w:r>
    </w:p>
    <w:p w14:paraId="5920A7D2" w14:textId="77777777" w:rsidR="004B0CA3" w:rsidRDefault="0082363B">
      <w:r>
        <w:br w:type="page"/>
      </w:r>
    </w:p>
    <w:p w14:paraId="54D2FF3A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GEOGRAPHIC STRATEGY</w:t>
      </w:r>
    </w:p>
    <w:p w14:paraId="3D96290A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Where to build the first prospecting clusters</w:t>
      </w:r>
    </w:p>
    <w:p w14:paraId="44B13DB9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Treat these metros as ecosystems for partnerships and industry concentration—not as proof that a nearby company paid a qualifying duty.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620"/>
        <w:gridCol w:w="3600"/>
        <w:gridCol w:w="4140"/>
      </w:tblGrid>
      <w:tr w:rsidR="004B0CA3" w14:paraId="268294CB" w14:textId="77777777">
        <w:trPr>
          <w:tblHeader/>
        </w:trPr>
        <w:tc>
          <w:tcPr>
            <w:tcW w:w="162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9BAEC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Gateway type</w:t>
            </w:r>
          </w:p>
        </w:tc>
        <w:tc>
          <w:tcPr>
            <w:tcW w:w="36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A4CBF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High-value starting markets</w:t>
            </w:r>
          </w:p>
        </w:tc>
        <w:tc>
          <w:tcPr>
            <w:tcW w:w="414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31D9F0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Natural prospect clusters</w:t>
            </w:r>
          </w:p>
        </w:tc>
      </w:tr>
      <w:tr w:rsidR="004B0CA3" w14:paraId="19AC0C7E" w14:textId="77777777">
        <w:tc>
          <w:tcPr>
            <w:tcW w:w="162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9309F5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Ocean</w:t>
            </w:r>
          </w:p>
        </w:tc>
        <w:tc>
          <w:tcPr>
            <w:tcW w:w="36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1F08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Los Angeles/Long Beach; New York/New Jersey; Savannah; Houston; Charleston; Norfolk</w:t>
            </w:r>
          </w:p>
        </w:tc>
        <w:tc>
          <w:tcPr>
            <w:tcW w:w="414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A4E32D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Retail, consumer goods, machinery, chemicals, automotive, apparel</w:t>
            </w:r>
          </w:p>
        </w:tc>
      </w:tr>
      <w:tr w:rsidR="004B0CA3" w14:paraId="5F4D9B78" w14:textId="77777777">
        <w:tc>
          <w:tcPr>
            <w:tcW w:w="162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67FAC3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Ocean</w:t>
            </w:r>
          </w:p>
        </w:tc>
        <w:tc>
          <w:tcPr>
            <w:tcW w:w="36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0C057F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Seattle/Tacoma; Oakland; Miami; Baltimore</w:t>
            </w:r>
          </w:p>
        </w:tc>
        <w:tc>
          <w:tcPr>
            <w:tcW w:w="414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3BC051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Asian trade, food, perishables, vehicles, industrial products</w:t>
            </w:r>
          </w:p>
        </w:tc>
      </w:tr>
      <w:tr w:rsidR="004B0CA3" w14:paraId="3316C3CC" w14:textId="77777777">
        <w:tc>
          <w:tcPr>
            <w:tcW w:w="162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5245B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Mexico border</w:t>
            </w:r>
          </w:p>
        </w:tc>
        <w:tc>
          <w:tcPr>
            <w:tcW w:w="36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48CE93" w14:textId="77777777" w:rsidR="004B0CA3" w:rsidRPr="00497C9F" w:rsidRDefault="0082363B">
            <w:pPr>
              <w:keepLines/>
              <w:spacing w:after="0" w:line="264" w:lineRule="auto"/>
              <w:rPr>
                <w:lang w:val="es-US"/>
              </w:rPr>
            </w:pPr>
            <w:r w:rsidRPr="00497C9F">
              <w:rPr>
                <w:rFonts w:eastAsia="Calibri" w:cs="Calibri"/>
                <w:sz w:val="17"/>
                <w:lang w:val="es-US"/>
              </w:rPr>
              <w:t>Laredo; El Paso/Santa Teresa; Otay Mesa/San Diego; Nogales; Pharr/Brownsville</w:t>
            </w:r>
          </w:p>
        </w:tc>
        <w:tc>
          <w:tcPr>
            <w:tcW w:w="414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29C27B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Manufacturing, auto parts, electronics, medical devices, produce</w:t>
            </w:r>
          </w:p>
        </w:tc>
      </w:tr>
      <w:tr w:rsidR="004B0CA3" w14:paraId="129B555F" w14:textId="77777777">
        <w:tc>
          <w:tcPr>
            <w:tcW w:w="162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623E28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Canada border</w:t>
            </w:r>
          </w:p>
        </w:tc>
        <w:tc>
          <w:tcPr>
            <w:tcW w:w="36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F73E3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Detroit; Buffalo/Niagara</w:t>
            </w:r>
          </w:p>
        </w:tc>
        <w:tc>
          <w:tcPr>
            <w:tcW w:w="414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1B0BA9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Automotive, machinery, industrial components and cross-border supply chains</w:t>
            </w:r>
          </w:p>
        </w:tc>
      </w:tr>
      <w:tr w:rsidR="004B0CA3" w14:paraId="3C432D01" w14:textId="77777777">
        <w:tc>
          <w:tcPr>
            <w:tcW w:w="162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26E477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Air cargo</w:t>
            </w:r>
          </w:p>
        </w:tc>
        <w:tc>
          <w:tcPr>
            <w:tcW w:w="36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17A9F5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JFK; Chicago O'Hare; LAX; Miami; DFW; Atlanta</w:t>
            </w:r>
          </w:p>
        </w:tc>
        <w:tc>
          <w:tcPr>
            <w:tcW w:w="414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DFF83E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Electronics, medical devices, aerospace, luxury goods and perishables</w:t>
            </w:r>
          </w:p>
        </w:tc>
      </w:tr>
    </w:tbl>
    <w:p w14:paraId="782247F7" w14:textId="77777777" w:rsidR="004B0CA3" w:rsidRDefault="004B0CA3">
      <w:pPr>
        <w:spacing w:after="40"/>
      </w:pPr>
    </w:p>
    <w:p w14:paraId="562FCF4E" w14:textId="77777777" w:rsidR="004B0CA3" w:rsidRDefault="0082363B">
      <w:pPr>
        <w:pStyle w:val="Heading2"/>
      </w:pPr>
      <w:r>
        <w:t>Best first corridor for DBR</w:t>
      </w:r>
    </w:p>
    <w:p w14:paraId="0330D7DA" w14:textId="77777777" w:rsidR="004B0CA3" w:rsidRDefault="0082363B">
      <w:pPr>
        <w:keepLines/>
        <w:pBdr>
          <w:left w:val="single" w:sz="22" w:space="8" w:color="F4B942"/>
        </w:pBdr>
        <w:shd w:val="clear" w:color="auto" w:fill="FFF6DF"/>
        <w:spacing w:before="40" w:after="200" w:line="288" w:lineRule="auto"/>
        <w:ind w:left="173" w:right="115"/>
      </w:pPr>
      <w:r>
        <w:rPr>
          <w:rFonts w:eastAsia="Calibri" w:cs="Calibri"/>
          <w:b/>
          <w:color w:val="F4B942"/>
          <w:sz w:val="19"/>
        </w:rPr>
        <w:t xml:space="preserve">RECOMMENDED LAUNCH  </w:t>
      </w:r>
      <w:r>
        <w:rPr>
          <w:rFonts w:eastAsia="Calibri" w:cs="Calibri"/>
          <w:sz w:val="21"/>
        </w:rPr>
        <w:t>Build the San Diego–Otay Mesa–Los Angeles/Long Beach corridor first. It combines local relationship access, two major gateway ecosystems, strong broker communities and a nearby national FTZ conference.</w:t>
      </w:r>
    </w:p>
    <w:p w14:paraId="03D58AFC" w14:textId="77777777" w:rsidR="004B0CA3" w:rsidRDefault="0082363B">
      <w:pPr>
        <w:pStyle w:val="Heading2"/>
      </w:pPr>
      <w:r>
        <w:t>How to use chambers intelligently</w:t>
      </w:r>
    </w:p>
    <w:p w14:paraId="32418F49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Prioritize chamber manufacturing, international-trade, logistics and cross-border committees.</w:t>
      </w:r>
    </w:p>
    <w:p w14:paraId="1822B4A9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Ask for a member education webinar—not access to the entire membership list.</w:t>
      </w:r>
    </w:p>
    <w:p w14:paraId="06797720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Pair a licensed customs broker with the CPA or recovery specialist for credibility.</w:t>
      </w:r>
    </w:p>
    <w:p w14:paraId="7CDBB989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Use port authorities, World Trade Centers, economic-development groups and FTZ grantees alongside chambers.</w:t>
      </w:r>
    </w:p>
    <w:p w14:paraId="1469BA17" w14:textId="77777777" w:rsidR="004B0CA3" w:rsidRDefault="0082363B">
      <w:r>
        <w:br w:type="page"/>
      </w:r>
    </w:p>
    <w:p w14:paraId="3714C339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HIGHEST-LEVERAGE PLAY</w:t>
      </w:r>
    </w:p>
    <w:p w14:paraId="32922465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Build customs-broker partnerships first</w:t>
      </w:r>
    </w:p>
    <w:p w14:paraId="2B8B037F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One productive broker relationship may provide access to dozens or hundreds of importer clients without requiring the broker to expose a confidential client list.</w:t>
      </w:r>
    </w:p>
    <w:p w14:paraId="0F11D996" w14:textId="77777777" w:rsidR="004B0CA3" w:rsidRDefault="0082363B">
      <w:pPr>
        <w:keepLines/>
        <w:pBdr>
          <w:left w:val="single" w:sz="22" w:space="8" w:color="14B8A6"/>
        </w:pBdr>
        <w:shd w:val="clear" w:color="auto" w:fill="E8F8F5"/>
        <w:spacing w:before="40" w:after="200" w:line="288" w:lineRule="auto"/>
        <w:ind w:left="173" w:right="115"/>
      </w:pPr>
      <w:r>
        <w:rPr>
          <w:rFonts w:eastAsia="Calibri" w:cs="Calibri"/>
          <w:b/>
          <w:color w:val="14B8A6"/>
          <w:sz w:val="19"/>
        </w:rPr>
        <w:t xml:space="preserve">WHY BROKERS MATTER  </w:t>
      </w:r>
      <w:r>
        <w:rPr>
          <w:rFonts w:eastAsia="Calibri" w:cs="Calibri"/>
          <w:sz w:val="21"/>
        </w:rPr>
        <w:t>NCBFAA reports that its member companies serve more than 250,000 importers and exporters and handle more than 97% of U.S. import entries.</w:t>
      </w:r>
    </w:p>
    <w:p w14:paraId="3AD4F6AE" w14:textId="77777777" w:rsidR="004B0CA3" w:rsidRDefault="0082363B">
      <w:pPr>
        <w:pStyle w:val="Heading2"/>
      </w:pPr>
      <w:r>
        <w:t>The partner offer</w:t>
      </w:r>
    </w:p>
    <w:p w14:paraId="17084AFA" w14:textId="77777777" w:rsidR="004B0CA3" w:rsidRDefault="0082363B">
      <w:pPr>
        <w:keepNext/>
      </w:pPr>
      <w:r>
        <w:rPr>
          <w:rFonts w:eastAsia="Calibri" w:cs="Calibri"/>
        </w:rPr>
        <w:t>Position DBR as an education and follow-up resource—not as a competitor for the broker's client.</w:t>
      </w:r>
    </w:p>
    <w:p w14:paraId="34312386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  <w:b/>
        </w:rPr>
        <w:t>Co-branded briefing.</w:t>
      </w:r>
      <w:r>
        <w:rPr>
          <w:rFonts w:eastAsia="Calibri" w:cs="Calibri"/>
        </w:rPr>
        <w:t xml:space="preserve"> Provide a concise IEEPA Tariff Refund Readiness webinar.</w:t>
      </w:r>
    </w:p>
    <w:p w14:paraId="5C2CA930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  <w:b/>
        </w:rPr>
        <w:t>No client-list request.</w:t>
      </w:r>
      <w:r>
        <w:rPr>
          <w:rFonts w:eastAsia="Calibri" w:cs="Calibri"/>
        </w:rPr>
        <w:t xml:space="preserve"> The broker invites clients; interested importers opt in directly.</w:t>
      </w:r>
    </w:p>
    <w:p w14:paraId="38638AA7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  <w:b/>
        </w:rPr>
        <w:t>Relationship protection.</w:t>
      </w:r>
      <w:r>
        <w:rPr>
          <w:rFonts w:eastAsia="Calibri" w:cs="Calibri"/>
        </w:rPr>
        <w:t xml:space="preserve"> Promise no poaching and keep the broker involved in the process.</w:t>
      </w:r>
    </w:p>
    <w:p w14:paraId="5DCAF7F1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  <w:b/>
        </w:rPr>
        <w:t>Private review clinic.</w:t>
      </w:r>
      <w:r>
        <w:rPr>
          <w:rFonts w:eastAsia="Calibri" w:cs="Calibri"/>
        </w:rPr>
        <w:t xml:space="preserve"> Offer confidential 15-minute appointments for document readiness.</w:t>
      </w:r>
    </w:p>
    <w:p w14:paraId="4E96B922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  <w:b/>
        </w:rPr>
        <w:t>Follow-up system.</w:t>
      </w:r>
      <w:r>
        <w:rPr>
          <w:rFonts w:eastAsia="Calibri" w:cs="Calibri"/>
        </w:rPr>
        <w:t xml:space="preserve"> Help educate and re-engage clients who have not acted.</w:t>
      </w:r>
    </w:p>
    <w:p w14:paraId="07492C5D" w14:textId="77777777" w:rsidR="004B0CA3" w:rsidRDefault="0082363B">
      <w:pPr>
        <w:pStyle w:val="Heading2"/>
      </w:pPr>
      <w:r>
        <w:t>The broker conversation</w:t>
      </w:r>
    </w:p>
    <w:p w14:paraId="1D37AB8D" w14:textId="77777777" w:rsidR="004B0CA3" w:rsidRDefault="0082363B">
      <w:pPr>
        <w:keepLines/>
        <w:pBdr>
          <w:left w:val="single" w:sz="22" w:space="8" w:color="0EA5C6"/>
        </w:pBdr>
        <w:shd w:val="clear" w:color="auto" w:fill="EAF4FA"/>
        <w:spacing w:before="40" w:after="200" w:line="288" w:lineRule="auto"/>
        <w:ind w:left="173" w:right="115"/>
      </w:pPr>
      <w:r>
        <w:rPr>
          <w:rFonts w:eastAsia="Calibri" w:cs="Calibri"/>
          <w:b/>
          <w:color w:val="0EA5C6"/>
          <w:sz w:val="19"/>
        </w:rPr>
        <w:t xml:space="preserve">SUGGESTED OPENING  </w:t>
      </w:r>
      <w:r>
        <w:rPr>
          <w:rFonts w:eastAsia="Calibri" w:cs="Calibri"/>
          <w:sz w:val="21"/>
        </w:rPr>
        <w:t>We do not need your client list. Let us provide a co-branded educational briefing for your clients. You retain the relationship and remain involved in the filing. Interested importers opt in directly.</w:t>
      </w:r>
    </w:p>
    <w:p w14:paraId="7BBD09CD" w14:textId="77777777" w:rsidR="004B0CA3" w:rsidRDefault="0082363B">
      <w:pPr>
        <w:pStyle w:val="Heading2"/>
      </w:pPr>
      <w:r>
        <w:t>Where to find them</w:t>
      </w:r>
    </w:p>
    <w:p w14:paraId="1E2DE58D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CBP's public permitted customs-broker listing includes broker names, cities, telephone numbers and emails.</w:t>
      </w:r>
    </w:p>
    <w:p w14:paraId="61CC113C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NCBFAA's affiliate network identifies local broker associations and their leadership across major gateways.</w:t>
      </w:r>
    </w:p>
    <w:p w14:paraId="6CBE21C8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Prioritize licensed customs brokers over generic logistics firms; not every forwarder or 3PL is authorized to conduct customs business.</w:t>
      </w:r>
    </w:p>
    <w:p w14:paraId="5522E094" w14:textId="77777777" w:rsidR="004B0CA3" w:rsidRDefault="0082363B">
      <w:r>
        <w:br w:type="page"/>
      </w:r>
    </w:p>
    <w:p w14:paraId="360E6F66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DIRECT IMPORTER PROSPECTING</w:t>
      </w:r>
    </w:p>
    <w:p w14:paraId="62D46987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Build a data-driven importer list</w:t>
      </w:r>
    </w:p>
    <w:p w14:paraId="09E15935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Use official aggregate data to find hot lanes, shipment data to identify companies, and contact data to reach the right decision-maker.</w:t>
      </w:r>
    </w:p>
    <w:p w14:paraId="2527EEB8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  <w:b/>
          <w:color w:val="071B33"/>
        </w:rPr>
        <w:t xml:space="preserve">Map the hot trade lanes. </w:t>
      </w:r>
      <w:r>
        <w:rPr>
          <w:rFonts w:eastAsia="Calibri" w:cs="Calibri"/>
        </w:rPr>
        <w:t>Use Census USA Trade Online to analyze port, state, country, product/HS code, value and transportation method.</w:t>
      </w:r>
    </w:p>
    <w:p w14:paraId="07FDBF9F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  <w:b/>
          <w:color w:val="071B33"/>
        </w:rPr>
        <w:t xml:space="preserve">Identify company names. </w:t>
      </w:r>
      <w:r>
        <w:rPr>
          <w:rFonts w:eastAsia="Calibri" w:cs="Calibri"/>
        </w:rPr>
        <w:t>Start with ImportYeti for ocean shipments; evaluate ImportGenius, Panjiva or Descartes Datamyne for deeper records.</w:t>
      </w:r>
    </w:p>
    <w:p w14:paraId="2CACE1C6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  <w:b/>
          <w:color w:val="071B33"/>
        </w:rPr>
        <w:t xml:space="preserve">Find the right person. </w:t>
      </w:r>
      <w:r>
        <w:rPr>
          <w:rFonts w:eastAsia="Calibri" w:cs="Calibri"/>
        </w:rPr>
        <w:t>Use LinkedIn Sales Navigator, Apollo or ZoomInfo to locate the CFO, controller or trade leader.</w:t>
      </w:r>
    </w:p>
    <w:p w14:paraId="7F5E2671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  <w:b/>
          <w:color w:val="071B33"/>
        </w:rPr>
        <w:t xml:space="preserve">Verify the payer. </w:t>
      </w:r>
      <w:r>
        <w:rPr>
          <w:rFonts w:eastAsia="Calibri" w:cs="Calibri"/>
        </w:rPr>
        <w:t>Confirm importer-of-record status and refer document review to the authorized specialist or customs broker.</w:t>
      </w:r>
    </w:p>
    <w:p w14:paraId="59F5C21F" w14:textId="77777777" w:rsidR="004B0CA3" w:rsidRDefault="0082363B">
      <w:pPr>
        <w:pStyle w:val="Heading2"/>
      </w:pPr>
      <w:r>
        <w:t>Best decision-maker titles</w:t>
      </w:r>
    </w:p>
    <w:p w14:paraId="44250FE1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Chief Financial Officer or Controller</w:t>
      </w:r>
    </w:p>
    <w:p w14:paraId="5CDF04CD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Director of Trade Compliance</w:t>
      </w:r>
    </w:p>
    <w:p w14:paraId="72C8130C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Import Manager</w:t>
      </w:r>
    </w:p>
    <w:p w14:paraId="008FA6C1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VP of Supply Chain or Global Logistics</w:t>
      </w:r>
    </w:p>
    <w:p w14:paraId="21FCE31A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General Counsel</w:t>
      </w:r>
    </w:p>
    <w:p w14:paraId="7DA11DA1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Owner or President for smaller importers</w:t>
      </w:r>
    </w:p>
    <w:p w14:paraId="28FAB63E" w14:textId="77777777" w:rsidR="004B0CA3" w:rsidRDefault="0082363B">
      <w:pPr>
        <w:pStyle w:val="Heading2"/>
      </w:pPr>
      <w:r>
        <w:t>Five-question qualification screen</w:t>
      </w:r>
    </w:p>
    <w:p w14:paraId="352E376D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</w:rPr>
        <w:t>Was your company the importer of record for U.S. entries during the affected period?</w:t>
      </w:r>
    </w:p>
    <w:p w14:paraId="49110E57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</w:rPr>
        <w:t>Did you import merchandise during 2025 or early 2026?</w:t>
      </w:r>
    </w:p>
    <w:p w14:paraId="2E5FECDC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</w:rPr>
        <w:t>Which countries and product categories were involved?</w:t>
      </w:r>
    </w:p>
    <w:p w14:paraId="310E71D0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</w:rPr>
        <w:t>Do you have access to CBP Form 7501 entry summaries or ACE reports?</w:t>
      </w:r>
    </w:p>
    <w:p w14:paraId="123113C1" w14:textId="77777777" w:rsidR="004B0CA3" w:rsidRDefault="0082363B">
      <w:pPr>
        <w:numPr>
          <w:ilvl w:val="0"/>
          <w:numId w:val="1"/>
        </w:numPr>
        <w:spacing w:after="100"/>
      </w:pPr>
      <w:r>
        <w:rPr>
          <w:rFonts w:eastAsia="Calibri" w:cs="Calibri"/>
        </w:rPr>
        <w:t>Which licensed customs broker filed the entries?</w:t>
      </w:r>
    </w:p>
    <w:p w14:paraId="7FCF88C2" w14:textId="77777777" w:rsidR="004B0CA3" w:rsidRDefault="0082363B">
      <w:pPr>
        <w:keepLines/>
        <w:pBdr>
          <w:left w:val="single" w:sz="22" w:space="8" w:color="E96B5B"/>
        </w:pBdr>
        <w:shd w:val="clear" w:color="auto" w:fill="FDEDEA"/>
        <w:spacing w:before="40" w:after="200" w:line="288" w:lineRule="auto"/>
        <w:ind w:left="173" w:right="115"/>
      </w:pPr>
      <w:r>
        <w:rPr>
          <w:rFonts w:eastAsia="Calibri" w:cs="Calibri"/>
          <w:b/>
          <w:color w:val="E96B5B"/>
          <w:sz w:val="19"/>
        </w:rPr>
        <w:t xml:space="preserve">QUALIFICATION RULE  </w:t>
      </w:r>
      <w:r>
        <w:rPr>
          <w:rFonts w:eastAsia="Calibri" w:cs="Calibri"/>
          <w:sz w:val="21"/>
        </w:rPr>
        <w:t>A consignee name in shipment data is a lead—not proof. Do not promise eligibility or estimate a refund until the appropriate records have been reviewed.</w:t>
      </w:r>
    </w:p>
    <w:p w14:paraId="57BE7CC7" w14:textId="77777777" w:rsidR="004B0CA3" w:rsidRDefault="0082363B">
      <w:r>
        <w:br w:type="page"/>
      </w:r>
    </w:p>
    <w:p w14:paraId="41C5B356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ASSOCIATIONS &amp; EVENTS</w:t>
      </w:r>
    </w:p>
    <w:p w14:paraId="587DCA4D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Go where importers and trade professionals already gather</w:t>
      </w:r>
    </w:p>
    <w:p w14:paraId="6CC6C090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Trade-specific groups are usually more productive than general networking organizations.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4050"/>
        <w:gridCol w:w="3510"/>
      </w:tblGrid>
      <w:tr w:rsidR="004B0CA3" w14:paraId="3A3799D5" w14:textId="77777777">
        <w:trPr>
          <w:tblHeader/>
        </w:trPr>
        <w:tc>
          <w:tcPr>
            <w:tcW w:w="18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D6574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Organization</w:t>
            </w:r>
          </w:p>
        </w:tc>
        <w:tc>
          <w:tcPr>
            <w:tcW w:w="405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DF78D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Who it reaches</w:t>
            </w:r>
          </w:p>
        </w:tc>
        <w:tc>
          <w:tcPr>
            <w:tcW w:w="351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2BAA7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Best DBR use</w:t>
            </w:r>
          </w:p>
        </w:tc>
      </w:tr>
      <w:tr w:rsidR="004B0CA3" w14:paraId="671F9C1E" w14:textId="77777777">
        <w:tc>
          <w:tcPr>
            <w:tcW w:w="18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154AD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NCBFAA</w:t>
            </w:r>
          </w:p>
        </w:tc>
        <w:tc>
          <w:tcPr>
            <w:tcW w:w="40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5A288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Customs brokers, forwarders, NVOCCs and logistics professionals</w:t>
            </w:r>
          </w:p>
        </w:tc>
        <w:tc>
          <w:tcPr>
            <w:tcW w:w="35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98EF42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Broker partnerships and education</w:t>
            </w:r>
          </w:p>
        </w:tc>
      </w:tr>
      <w:tr w:rsidR="004B0CA3" w14:paraId="35CBF00D" w14:textId="77777777">
        <w:tc>
          <w:tcPr>
            <w:tcW w:w="18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B5240F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ICPA</w:t>
            </w:r>
          </w:p>
        </w:tc>
        <w:tc>
          <w:tcPr>
            <w:tcW w:w="40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35224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Corporate trade-compliance professionals</w:t>
            </w:r>
          </w:p>
        </w:tc>
        <w:tc>
          <w:tcPr>
            <w:tcW w:w="35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70B491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Direct access to sophisticated importers</w:t>
            </w:r>
          </w:p>
        </w:tc>
      </w:tr>
      <w:tr w:rsidR="004B0CA3" w14:paraId="62583DD7" w14:textId="77777777">
        <w:tc>
          <w:tcPr>
            <w:tcW w:w="18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C4E03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AAEI</w:t>
            </w:r>
          </w:p>
        </w:tc>
        <w:tc>
          <w:tcPr>
            <w:tcW w:w="40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DB62DE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Importers, exporters and trade-policy leaders</w:t>
            </w:r>
          </w:p>
        </w:tc>
        <w:tc>
          <w:tcPr>
            <w:tcW w:w="35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6CCF44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Importer education and visibility</w:t>
            </w:r>
          </w:p>
        </w:tc>
      </w:tr>
      <w:tr w:rsidR="004B0CA3" w14:paraId="0487B787" w14:textId="77777777">
        <w:tc>
          <w:tcPr>
            <w:tcW w:w="18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494EA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NAFTZ</w:t>
            </w:r>
          </w:p>
        </w:tc>
        <w:tc>
          <w:tcPr>
            <w:tcW w:w="40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B259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FTZ grantees, operators, users and advisors</w:t>
            </w:r>
          </w:p>
        </w:tc>
        <w:tc>
          <w:tcPr>
            <w:tcW w:w="35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BD4833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Zones, manufacturers and warehouse networks</w:t>
            </w:r>
          </w:p>
        </w:tc>
      </w:tr>
      <w:tr w:rsidR="004B0CA3" w14:paraId="1FA39AF1" w14:textId="77777777">
        <w:tc>
          <w:tcPr>
            <w:tcW w:w="18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98783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Local broker associations</w:t>
            </w:r>
          </w:p>
        </w:tc>
        <w:tc>
          <w:tcPr>
            <w:tcW w:w="40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84BA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Gateway-specific customs professionals</w:t>
            </w:r>
          </w:p>
        </w:tc>
        <w:tc>
          <w:tcPr>
            <w:tcW w:w="35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8AA9DE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Local webinars and chapter relationships</w:t>
            </w:r>
          </w:p>
        </w:tc>
      </w:tr>
      <w:tr w:rsidR="004B0CA3" w14:paraId="3F81453F" w14:textId="77777777">
        <w:tc>
          <w:tcPr>
            <w:tcW w:w="18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7BDB9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Vertical associations</w:t>
            </w:r>
          </w:p>
        </w:tc>
        <w:tc>
          <w:tcPr>
            <w:tcW w:w="405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A48ACC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Apparel, auto parts, electronics, furniture, food and industrial sectors</w:t>
            </w:r>
          </w:p>
        </w:tc>
        <w:tc>
          <w:tcPr>
            <w:tcW w:w="351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6D8481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Industry-specific prospecting</w:t>
            </w:r>
          </w:p>
        </w:tc>
      </w:tr>
    </w:tbl>
    <w:p w14:paraId="5D4A4971" w14:textId="77777777" w:rsidR="004B0CA3" w:rsidRDefault="004B0CA3">
      <w:pPr>
        <w:spacing w:after="40"/>
      </w:pPr>
    </w:p>
    <w:p w14:paraId="05F05FCD" w14:textId="77777777" w:rsidR="004B0CA3" w:rsidRDefault="0082363B">
      <w:pPr>
        <w:pStyle w:val="Heading2"/>
      </w:pPr>
      <w:r>
        <w:t>Upcoming opportunities as of July 21, 2026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2580"/>
        <w:gridCol w:w="3780"/>
      </w:tblGrid>
      <w:tr w:rsidR="004B0CA3" w14:paraId="6783B31A" w14:textId="77777777">
        <w:trPr>
          <w:tblHeader/>
        </w:trPr>
        <w:tc>
          <w:tcPr>
            <w:tcW w:w="30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97F697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Event</w:t>
            </w:r>
          </w:p>
        </w:tc>
        <w:tc>
          <w:tcPr>
            <w:tcW w:w="258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DBE4C1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Date and location</w:t>
            </w:r>
          </w:p>
        </w:tc>
        <w:tc>
          <w:tcPr>
            <w:tcW w:w="378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E3C18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Why it matters</w:t>
            </w:r>
          </w:p>
        </w:tc>
      </w:tr>
      <w:tr w:rsidR="004B0CA3" w14:paraId="618381DD" w14:textId="77777777">
        <w:tc>
          <w:tcPr>
            <w:tcW w:w="30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7AD798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NCBFAA Global Trade Educational Conference</w:t>
            </w:r>
          </w:p>
        </w:tc>
        <w:tc>
          <w:tcPr>
            <w:tcW w:w="2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ADB250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July 26–28 • St. Louis</w:t>
            </w:r>
          </w:p>
        </w:tc>
        <w:tc>
          <w:tcPr>
            <w:tcW w:w="37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9EADF0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Brokers, forwarders, importers, exporters and service providers</w:t>
            </w:r>
          </w:p>
        </w:tc>
      </w:tr>
      <w:tr w:rsidR="004B0CA3" w14:paraId="41D801A2" w14:textId="77777777">
        <w:tc>
          <w:tcPr>
            <w:tcW w:w="30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19E58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ICPA Global Trade Pathways Conference</w:t>
            </w:r>
          </w:p>
        </w:tc>
        <w:tc>
          <w:tcPr>
            <w:tcW w:w="2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8781F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Sept. 13–15 • Grapevine, TX</w:t>
            </w:r>
          </w:p>
        </w:tc>
        <w:tc>
          <w:tcPr>
            <w:tcW w:w="37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2190E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Trade-compliance professionals and importer leaders</w:t>
            </w:r>
          </w:p>
        </w:tc>
      </w:tr>
      <w:tr w:rsidR="004B0CA3" w14:paraId="4C3C7731" w14:textId="77777777">
        <w:tc>
          <w:tcPr>
            <w:tcW w:w="30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36BA3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NAFTZ Annual Conference</w:t>
            </w:r>
          </w:p>
        </w:tc>
        <w:tc>
          <w:tcPr>
            <w:tcW w:w="2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050023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Oct. 18–21 • San Diego</w:t>
            </w:r>
          </w:p>
        </w:tc>
        <w:tc>
          <w:tcPr>
            <w:tcW w:w="37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E33A32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Ideal local opportunity for DBR and FTZ relationships</w:t>
            </w:r>
          </w:p>
        </w:tc>
      </w:tr>
      <w:tr w:rsidR="004B0CA3" w14:paraId="16CDA1AA" w14:textId="77777777">
        <w:tc>
          <w:tcPr>
            <w:tcW w:w="30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B5635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7"/>
              </w:rPr>
              <w:t>AAEI Fall Virtual Conference</w:t>
            </w:r>
          </w:p>
        </w:tc>
        <w:tc>
          <w:tcPr>
            <w:tcW w:w="2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B1314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7"/>
              </w:rPr>
              <w:t>Oct. 22 • Virtual</w:t>
            </w:r>
          </w:p>
        </w:tc>
        <w:tc>
          <w:tcPr>
            <w:tcW w:w="37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BCA333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7"/>
              </w:rPr>
              <w:t>Importer/exporter risk, technology and governance</w:t>
            </w:r>
          </w:p>
        </w:tc>
      </w:tr>
    </w:tbl>
    <w:p w14:paraId="69BFAAD5" w14:textId="77777777" w:rsidR="004B0CA3" w:rsidRDefault="004B0CA3">
      <w:pPr>
        <w:spacing w:after="40"/>
      </w:pPr>
    </w:p>
    <w:p w14:paraId="7909906E" w14:textId="77777777" w:rsidR="004B0CA3" w:rsidRDefault="0082363B">
      <w:pPr>
        <w:keepLines/>
        <w:pBdr>
          <w:left w:val="single" w:sz="22" w:space="8" w:color="F4B942"/>
        </w:pBdr>
        <w:shd w:val="clear" w:color="auto" w:fill="FFF6DF"/>
        <w:spacing w:before="40" w:after="200" w:line="288" w:lineRule="auto"/>
        <w:ind w:left="173" w:right="115"/>
      </w:pPr>
      <w:r>
        <w:rPr>
          <w:rFonts w:eastAsia="Calibri" w:cs="Calibri"/>
          <w:b/>
          <w:color w:val="F4B942"/>
          <w:sz w:val="19"/>
        </w:rPr>
        <w:t xml:space="preserve">BEST NEAR-TERM BET  </w:t>
      </w:r>
      <w:r>
        <w:rPr>
          <w:rFonts w:eastAsia="Calibri" w:cs="Calibri"/>
          <w:sz w:val="21"/>
        </w:rPr>
        <w:t>The October NAFTZ conference in San Diego is the strongest local relationship-building opportunity for DBR. Begin outreach to the organizer, sponsors and exhibitors well before the event.</w:t>
      </w:r>
    </w:p>
    <w:p w14:paraId="7EF6D11B" w14:textId="77777777" w:rsidR="004B0CA3" w:rsidRDefault="0082363B">
      <w:r>
        <w:br w:type="page"/>
      </w:r>
    </w:p>
    <w:p w14:paraId="5DC0F078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CREATIVE CAMPAIGNS</w:t>
      </w:r>
    </w:p>
    <w:p w14:paraId="4DD60894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Give prospects a useful reason to respond</w:t>
      </w:r>
    </w:p>
    <w:p w14:paraId="2713FF91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The strongest offers feel like education and readiness—not another cold pitch about a giant refund number.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4B0CA3" w14:paraId="2C01BCD1" w14:textId="77777777">
        <w:trPr>
          <w:tblHeader/>
        </w:trPr>
        <w:tc>
          <w:tcPr>
            <w:tcW w:w="27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40236F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Campaign</w:t>
            </w:r>
          </w:p>
        </w:tc>
        <w:tc>
          <w:tcPr>
            <w:tcW w:w="666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9C374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How it works</w:t>
            </w:r>
          </w:p>
        </w:tc>
      </w:tr>
      <w:tr w:rsidR="004B0CA3" w14:paraId="173E3F49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B57AD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Bring Your 7501</w:t>
            </w:r>
          </w:p>
        </w:tc>
        <w:tc>
          <w:tcPr>
            <w:tcW w:w="66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364693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A confidential 15-minute readiness screen focused on locating the right documents and professionals.</w:t>
            </w:r>
          </w:p>
        </w:tc>
      </w:tr>
      <w:tr w:rsidR="004B0CA3" w14:paraId="71E87C9E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0E8ABE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Tariff Refund Town Hall</w:t>
            </w:r>
          </w:p>
        </w:tc>
        <w:tc>
          <w:tcPr>
            <w:tcW w:w="66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ED6FD8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A co-hosted chamber, FTZ, port-council or association briefing with a licensed customs broker and qualified advisor.</w:t>
            </w:r>
          </w:p>
        </w:tc>
      </w:tr>
      <w:tr w:rsidR="004B0CA3" w14:paraId="3C430438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01C0B7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Broker Client Rescue</w:t>
            </w:r>
          </w:p>
        </w:tc>
        <w:tc>
          <w:tcPr>
            <w:tcW w:w="66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4B2E7C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A broker-approved email series that reminds inactive clients to check eligibility, locate records and attend a briefing.</w:t>
            </w:r>
          </w:p>
        </w:tc>
      </w:tr>
      <w:tr w:rsidR="004B0CA3" w14:paraId="67267FFD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05A285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Trade-Show Exhibitor Mining</w:t>
            </w:r>
          </w:p>
        </w:tc>
        <w:tc>
          <w:tcPr>
            <w:tcW w:w="66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38CD3D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Build lists from import-heavy events, then verify import activity before outreach.</w:t>
            </w:r>
          </w:p>
        </w:tc>
      </w:tr>
      <w:tr w:rsidR="004B0CA3" w14:paraId="07AB26F0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08FD27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Tariff Exposure Signals</w:t>
            </w:r>
          </w:p>
        </w:tc>
        <w:tc>
          <w:tcPr>
            <w:tcW w:w="66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E49EC1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Monitor tariff price increases, SEC disclosures, trade-compliance hiring, supplier changes and new distribution centers.</w:t>
            </w:r>
          </w:p>
        </w:tc>
      </w:tr>
      <w:tr w:rsidR="004B0CA3" w14:paraId="03FEB9C9" w14:textId="77777777"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0169F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Importer Look-Alikes</w:t>
            </w:r>
          </w:p>
        </w:tc>
        <w:tc>
          <w:tcPr>
            <w:tcW w:w="66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4B7CC6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Use a known importer to identify competitors and similar companies importing the same product categories.</w:t>
            </w:r>
          </w:p>
        </w:tc>
      </w:tr>
    </w:tbl>
    <w:p w14:paraId="5E29FF40" w14:textId="77777777" w:rsidR="004B0CA3" w:rsidRDefault="004B0CA3">
      <w:pPr>
        <w:spacing w:after="40"/>
      </w:pPr>
    </w:p>
    <w:p w14:paraId="0C32330A" w14:textId="77777777" w:rsidR="004B0CA3" w:rsidRDefault="0082363B">
      <w:pPr>
        <w:pStyle w:val="Heading2"/>
      </w:pPr>
      <w:r>
        <w:t>High-import verticals to test</w:t>
      </w:r>
    </w:p>
    <w:p w14:paraId="7CDCB29D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Apparel, footwear, furniture and home goods</w:t>
      </w:r>
    </w:p>
    <w:p w14:paraId="39BD22C7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Automotive aftermarket and industrial components</w:t>
      </w:r>
    </w:p>
    <w:p w14:paraId="27EBFBF2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Consumer electronics, hardware and machinery</w:t>
      </w:r>
    </w:p>
    <w:p w14:paraId="232D299D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Medical devices, aerospace and precision products</w:t>
      </w:r>
    </w:p>
    <w:p w14:paraId="16A23671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Food, perishables, sporting goods, toys and pet products</w:t>
      </w:r>
    </w:p>
    <w:p w14:paraId="680F4EB0" w14:textId="77777777" w:rsidR="004B0CA3" w:rsidRDefault="0082363B">
      <w:pPr>
        <w:keepLines/>
        <w:pBdr>
          <w:left w:val="single" w:sz="22" w:space="8" w:color="14B8A6"/>
        </w:pBdr>
        <w:shd w:val="clear" w:color="auto" w:fill="E8F8F5"/>
        <w:spacing w:before="40" w:after="200" w:line="288" w:lineRule="auto"/>
        <w:ind w:left="173" w:right="115"/>
      </w:pPr>
      <w:r>
        <w:rPr>
          <w:rFonts w:eastAsia="Calibri" w:cs="Calibri"/>
          <w:b/>
          <w:color w:val="14B8A6"/>
          <w:sz w:val="19"/>
        </w:rPr>
        <w:t xml:space="preserve">MESSAGING PRINCIPLE  </w:t>
      </w:r>
      <w:r>
        <w:rPr>
          <w:rFonts w:eastAsia="Calibri" w:cs="Calibri"/>
          <w:sz w:val="21"/>
        </w:rPr>
        <w:t>Lead with a readiness question: ‘Did your company import goods during 2025 or early 2026?’ Save the refund estimate for after the importer-of-record and entry data are confirmed.</w:t>
      </w:r>
    </w:p>
    <w:p w14:paraId="2E4A9446" w14:textId="77777777" w:rsidR="004B0CA3" w:rsidRDefault="0082363B">
      <w:r>
        <w:br w:type="page"/>
      </w:r>
    </w:p>
    <w:p w14:paraId="7E270F34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30-DAY LAUNCH PLAN</w:t>
      </w:r>
    </w:p>
    <w:p w14:paraId="3B7F2C8F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Run three campaigns at the same time</w:t>
      </w:r>
    </w:p>
    <w:p w14:paraId="18DD4EBB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Combine channel leverage, local relationships and direct importer outreach so DBR learns quickly where the strongest conversion comes from.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080"/>
        <w:gridCol w:w="2700"/>
        <w:gridCol w:w="5580"/>
      </w:tblGrid>
      <w:tr w:rsidR="004B0CA3" w14:paraId="093CA05C" w14:textId="77777777">
        <w:trPr>
          <w:tblHeader/>
        </w:trPr>
        <w:tc>
          <w:tcPr>
            <w:tcW w:w="108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221B2B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Week</w:t>
            </w:r>
          </w:p>
        </w:tc>
        <w:tc>
          <w:tcPr>
            <w:tcW w:w="27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794C8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Primary outcome</w:t>
            </w:r>
          </w:p>
        </w:tc>
        <w:tc>
          <w:tcPr>
            <w:tcW w:w="558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791C39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Actions</w:t>
            </w:r>
          </w:p>
        </w:tc>
      </w:tr>
      <w:tr w:rsidR="004B0CA3" w14:paraId="770027DA" w14:textId="77777777">
        <w:tc>
          <w:tcPr>
            <w:tcW w:w="10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E0A13E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1</w:t>
            </w:r>
          </w:p>
        </w:tc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96ADBA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8"/>
              </w:rPr>
              <w:t>Build the target universe</w:t>
            </w:r>
          </w:p>
        </w:tc>
        <w:tc>
          <w:tcPr>
            <w:tcW w:w="5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93891E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Segment 100 licensed brokers, 10 associations/FTZ groups and a pilot list of verified ocean importers.</w:t>
            </w:r>
          </w:p>
        </w:tc>
      </w:tr>
      <w:tr w:rsidR="004B0CA3" w14:paraId="0E9B9DB5" w14:textId="77777777">
        <w:tc>
          <w:tcPr>
            <w:tcW w:w="10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05BBDF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2</w:t>
            </w:r>
          </w:p>
        </w:tc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54695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8"/>
              </w:rPr>
              <w:t>Launch partner outreach</w:t>
            </w:r>
          </w:p>
        </w:tc>
        <w:tc>
          <w:tcPr>
            <w:tcW w:w="5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71A389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Invite brokers and organizations to a co-branded briefing; schedule one weekly webinar.</w:t>
            </w:r>
          </w:p>
        </w:tc>
      </w:tr>
      <w:tr w:rsidR="004B0CA3" w14:paraId="6BFBF626" w14:textId="77777777">
        <w:tc>
          <w:tcPr>
            <w:tcW w:w="10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DE18E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3</w:t>
            </w:r>
          </w:p>
        </w:tc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2ABEC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8"/>
              </w:rPr>
              <w:t>Launch importer outreach</w:t>
            </w:r>
          </w:p>
        </w:tc>
        <w:tc>
          <w:tcPr>
            <w:tcW w:w="5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4A6470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Contact CFOs and trade leaders with a readiness-first message and private review option.</w:t>
            </w:r>
          </w:p>
        </w:tc>
      </w:tr>
      <w:tr w:rsidR="004B0CA3" w14:paraId="32BB18F6" w14:textId="77777777">
        <w:tc>
          <w:tcPr>
            <w:tcW w:w="10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1F0B5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4</w:t>
            </w:r>
          </w:p>
        </w:tc>
        <w:tc>
          <w:tcPr>
            <w:tcW w:w="27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3B67F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sz w:val="18"/>
              </w:rPr>
              <w:t>Measure and scale</w:t>
            </w:r>
          </w:p>
        </w:tc>
        <w:tc>
          <w:tcPr>
            <w:tcW w:w="558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7CD318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Track conversations, opt-ins, document-ready prospects, partner referrals and specialist submissions.</w:t>
            </w:r>
          </w:p>
        </w:tc>
      </w:tr>
    </w:tbl>
    <w:p w14:paraId="4EB955A8" w14:textId="77777777" w:rsidR="004B0CA3" w:rsidRDefault="004B0CA3">
      <w:pPr>
        <w:spacing w:after="40"/>
      </w:pPr>
    </w:p>
    <w:p w14:paraId="3717E207" w14:textId="77777777" w:rsidR="004B0CA3" w:rsidRDefault="0082363B">
      <w:pPr>
        <w:pStyle w:val="Heading2"/>
      </w:pPr>
      <w:r>
        <w:t>Recommended campaign mix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00"/>
        <w:gridCol w:w="7860"/>
      </w:tblGrid>
      <w:tr w:rsidR="004B0CA3" w14:paraId="26578B24" w14:textId="77777777">
        <w:trPr>
          <w:tblHeader/>
        </w:trPr>
        <w:tc>
          <w:tcPr>
            <w:tcW w:w="15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46F1C6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Effort</w:t>
            </w:r>
          </w:p>
        </w:tc>
        <w:tc>
          <w:tcPr>
            <w:tcW w:w="786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B5FA7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Channel</w:t>
            </w:r>
          </w:p>
        </w:tc>
      </w:tr>
      <w:tr w:rsidR="004B0CA3" w14:paraId="00A324C3" w14:textId="77777777">
        <w:tc>
          <w:tcPr>
            <w:tcW w:w="15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81B621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40%</w:t>
            </w:r>
          </w:p>
        </w:tc>
        <w:tc>
          <w:tcPr>
            <w:tcW w:w="78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4BF7F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Customs-broker and professional referral partnerships</w:t>
            </w:r>
          </w:p>
        </w:tc>
      </w:tr>
      <w:tr w:rsidR="004B0CA3" w14:paraId="6F2038CB" w14:textId="77777777">
        <w:tc>
          <w:tcPr>
            <w:tcW w:w="15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C5F41B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35%</w:t>
            </w:r>
          </w:p>
        </w:tc>
        <w:tc>
          <w:tcPr>
            <w:tcW w:w="78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326A2D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Data-driven direct importer outreach</w:t>
            </w:r>
          </w:p>
        </w:tc>
      </w:tr>
      <w:tr w:rsidR="004B0CA3" w14:paraId="263F4E30" w14:textId="77777777">
        <w:tc>
          <w:tcPr>
            <w:tcW w:w="15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2FB051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15%</w:t>
            </w:r>
          </w:p>
        </w:tc>
        <w:tc>
          <w:tcPr>
            <w:tcW w:w="78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8BF4E8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Associations, events, FTZs and port ecosystems</w:t>
            </w:r>
          </w:p>
        </w:tc>
      </w:tr>
      <w:tr w:rsidR="004B0CA3" w14:paraId="079D2EDB" w14:textId="77777777">
        <w:tc>
          <w:tcPr>
            <w:tcW w:w="15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A73C1C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10%</w:t>
            </w:r>
          </w:p>
        </w:tc>
        <w:tc>
          <w:tcPr>
            <w:tcW w:w="78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B9F29C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Chambers, media signals and creative experiments</w:t>
            </w:r>
          </w:p>
        </w:tc>
      </w:tr>
    </w:tbl>
    <w:p w14:paraId="341B356A" w14:textId="77777777" w:rsidR="004B0CA3" w:rsidRDefault="004B0CA3">
      <w:pPr>
        <w:spacing w:after="40"/>
      </w:pPr>
    </w:p>
    <w:p w14:paraId="12DD03A5" w14:textId="77777777" w:rsidR="004B0CA3" w:rsidRDefault="0082363B">
      <w:pPr>
        <w:pStyle w:val="Heading2"/>
      </w:pPr>
      <w:r>
        <w:t>Track leading indicators</w:t>
      </w:r>
    </w:p>
    <w:p w14:paraId="43E18624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Qualified importer conversations—not raw leads</w:t>
      </w:r>
    </w:p>
    <w:p w14:paraId="3DE3EB92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Broker and association partners who agree to distribute education</w:t>
      </w:r>
    </w:p>
    <w:p w14:paraId="6BD1075E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Importers with accessible 7501 or ACE records</w:t>
      </w:r>
    </w:p>
    <w:p w14:paraId="4D149E5A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Private reviews scheduled and completed</w:t>
      </w:r>
    </w:p>
    <w:p w14:paraId="2B0BD09E" w14:textId="77777777" w:rsidR="004B0CA3" w:rsidRDefault="0082363B">
      <w:pPr>
        <w:numPr>
          <w:ilvl w:val="0"/>
          <w:numId w:val="1"/>
        </w:numPr>
      </w:pPr>
      <w:r>
        <w:rPr>
          <w:rFonts w:eastAsia="Calibri" w:cs="Calibri"/>
        </w:rPr>
        <w:t>Cases accepted by the authorized specialist</w:t>
      </w:r>
    </w:p>
    <w:p w14:paraId="7F4F02C7" w14:textId="77777777" w:rsidR="004B0CA3" w:rsidRDefault="0082363B">
      <w:pPr>
        <w:keepLines/>
        <w:pBdr>
          <w:left w:val="single" w:sz="22" w:space="8" w:color="F4B942"/>
        </w:pBdr>
        <w:shd w:val="clear" w:color="auto" w:fill="FFF6DF"/>
        <w:spacing w:before="40" w:after="200" w:line="288" w:lineRule="auto"/>
        <w:ind w:left="173" w:right="115"/>
      </w:pPr>
      <w:r>
        <w:rPr>
          <w:rFonts w:eastAsia="Calibri" w:cs="Calibri"/>
          <w:b/>
          <w:color w:val="F4B942"/>
          <w:sz w:val="19"/>
        </w:rPr>
        <w:t xml:space="preserve">FIRST-MONTH GOAL  </w:t>
      </w:r>
      <w:r>
        <w:rPr>
          <w:rFonts w:eastAsia="Calibri" w:cs="Calibri"/>
          <w:sz w:val="21"/>
        </w:rPr>
        <w:t>Prove which acquisition route produces document-ready importer cases. Volume without importer-of-record verification is simply a larger pile of maybes.</w:t>
      </w:r>
    </w:p>
    <w:p w14:paraId="152A9424" w14:textId="77777777" w:rsidR="004B0CA3" w:rsidRDefault="0082363B">
      <w:r>
        <w:br w:type="page"/>
      </w:r>
    </w:p>
    <w:p w14:paraId="1D81E8B2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GUARDRAILS</w:t>
      </w:r>
    </w:p>
    <w:p w14:paraId="1BC8B04F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Protect the importer, the broker and DBR</w:t>
      </w:r>
    </w:p>
    <w:p w14:paraId="7D2090A6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This campaign touches regulated customs activity. Keep agent activity firmly on education, introduction and qualification.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60"/>
        <w:gridCol w:w="6900"/>
      </w:tblGrid>
      <w:tr w:rsidR="004B0CA3" w14:paraId="53CD830D" w14:textId="77777777">
        <w:trPr>
          <w:tblHeader/>
        </w:trPr>
        <w:tc>
          <w:tcPr>
            <w:tcW w:w="246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5A3B38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Guardrail</w:t>
            </w:r>
          </w:p>
        </w:tc>
        <w:tc>
          <w:tcPr>
            <w:tcW w:w="6900" w:type="dxa"/>
            <w:tcBorders>
              <w:top w:val="single" w:sz="8" w:space="0" w:color="071B33"/>
              <w:left w:val="single" w:sz="8" w:space="0" w:color="071B33"/>
              <w:bottom w:val="single" w:sz="8" w:space="0" w:color="071B33"/>
              <w:right w:val="single" w:sz="8" w:space="0" w:color="071B33"/>
            </w:tcBorders>
            <w:shd w:val="clear" w:color="auto" w:fill="071B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9ECA8E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color w:val="FFFFFF"/>
                <w:sz w:val="18"/>
              </w:rPr>
              <w:t>Practical meaning</w:t>
            </w:r>
          </w:p>
        </w:tc>
      </w:tr>
      <w:tr w:rsidR="004B0CA3" w14:paraId="663763B7" w14:textId="77777777">
        <w:tc>
          <w:tcPr>
            <w:tcW w:w="2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295EEB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Authorized submission</w:t>
            </w:r>
          </w:p>
        </w:tc>
        <w:tc>
          <w:tcPr>
            <w:tcW w:w="6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2B2500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CBP states that the importer of record or the authorized customs broker that filed the affected entries may submit the CAPE declaration.</w:t>
            </w:r>
          </w:p>
        </w:tc>
      </w:tr>
      <w:tr w:rsidR="004B0CA3" w14:paraId="11E6AD32" w14:textId="77777777">
        <w:tc>
          <w:tcPr>
            <w:tcW w:w="2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940D7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Client confidentiality</w:t>
            </w:r>
          </w:p>
        </w:tc>
        <w:tc>
          <w:tcPr>
            <w:tcW w:w="6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395E61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Customs brokers generally may not disclose client records or connected information without written client authorization.</w:t>
            </w:r>
          </w:p>
        </w:tc>
      </w:tr>
      <w:tr w:rsidR="004B0CA3" w14:paraId="5A36F49D" w14:textId="77777777">
        <w:tc>
          <w:tcPr>
            <w:tcW w:w="2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8F17AD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Agent boundaries</w:t>
            </w:r>
          </w:p>
        </w:tc>
        <w:tc>
          <w:tcPr>
            <w:tcW w:w="6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8C30BF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DBR agents should not prepare customs filings, interpret classifications or handle customs powers of attorney.</w:t>
            </w:r>
          </w:p>
        </w:tc>
      </w:tr>
      <w:tr w:rsidR="004B0CA3" w14:paraId="6792B88D" w14:textId="77777777">
        <w:tc>
          <w:tcPr>
            <w:tcW w:w="2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531417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Government fee disclosure</w:t>
            </w:r>
          </w:p>
        </w:tc>
        <w:tc>
          <w:tcPr>
            <w:tcW w:w="6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365CCB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CBP does not charge a processing fee. Any private fee should be clearly described as professional analysis, documentation or recovery assistance.</w:t>
            </w:r>
          </w:p>
        </w:tc>
      </w:tr>
      <w:tr w:rsidR="004B0CA3" w14:paraId="10230665" w14:textId="77777777">
        <w:tc>
          <w:tcPr>
            <w:tcW w:w="246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BEED24" w14:textId="77777777" w:rsidR="004B0CA3" w:rsidRDefault="0082363B">
            <w:pPr>
              <w:keepLines/>
              <w:spacing w:after="0" w:line="264" w:lineRule="auto"/>
            </w:pPr>
            <w:r>
              <w:rPr>
                <w:rFonts w:eastAsia="Calibri" w:cs="Calibri"/>
                <w:b/>
                <w:sz w:val="18"/>
              </w:rPr>
              <w:t>No blanket promises</w:t>
            </w:r>
          </w:p>
        </w:tc>
        <w:tc>
          <w:tcPr>
            <w:tcW w:w="6900" w:type="dxa"/>
            <w:tcBorders>
              <w:top w:val="single" w:sz="5" w:space="0" w:color="CFDCE4"/>
              <w:left w:val="single" w:sz="5" w:space="0" w:color="CFDCE4"/>
              <w:bottom w:val="single" w:sz="5" w:space="0" w:color="CFDCE4"/>
              <w:right w:val="single" w:sz="5" w:space="0" w:color="CFDCE4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9C317A" w14:textId="77777777" w:rsidR="004B0CA3" w:rsidRDefault="0082363B">
            <w:pPr>
              <w:keepLines/>
              <w:spacing w:after="0" w:line="264" w:lineRule="auto"/>
              <w:jc w:val="center"/>
            </w:pPr>
            <w:r>
              <w:rPr>
                <w:rFonts w:eastAsia="Calibri" w:cs="Calibri"/>
                <w:sz w:val="18"/>
              </w:rPr>
              <w:t>Potentially refundable IEEPA duties are not the same as every tariff, normal duty or customs charge paid by an importer.</w:t>
            </w:r>
          </w:p>
        </w:tc>
      </w:tr>
    </w:tbl>
    <w:p w14:paraId="2AB8F87B" w14:textId="77777777" w:rsidR="004B0CA3" w:rsidRDefault="004B0CA3">
      <w:pPr>
        <w:spacing w:after="40"/>
      </w:pPr>
    </w:p>
    <w:p w14:paraId="15214B79" w14:textId="77777777" w:rsidR="004B0CA3" w:rsidRDefault="0082363B">
      <w:pPr>
        <w:keepLines/>
        <w:pBdr>
          <w:left w:val="single" w:sz="22" w:space="8" w:color="E96B5B"/>
        </w:pBdr>
        <w:shd w:val="clear" w:color="auto" w:fill="FDEDEA"/>
        <w:spacing w:before="40" w:after="200" w:line="288" w:lineRule="auto"/>
        <w:ind w:left="173" w:right="115"/>
      </w:pPr>
      <w:r>
        <w:rPr>
          <w:rFonts w:eastAsia="Calibri" w:cs="Calibri"/>
          <w:b/>
          <w:color w:val="E96B5B"/>
          <w:sz w:val="19"/>
        </w:rPr>
        <w:t xml:space="preserve">COMPENSATION &amp; POA REVIEW  </w:t>
      </w:r>
      <w:r>
        <w:rPr>
          <w:rFonts w:eastAsia="Calibri" w:cs="Calibri"/>
          <w:sz w:val="21"/>
        </w:rPr>
        <w:t>Before scaling broker partnerships, have TRA/Jorns and qualified customs counsel confirm that referral compensation, data flow and power-of-attorney procedures comply with 19 CFR Part 111.</w:t>
      </w:r>
    </w:p>
    <w:p w14:paraId="39590AB1" w14:textId="77777777" w:rsidR="004B0CA3" w:rsidRDefault="0082363B">
      <w:pPr>
        <w:pStyle w:val="Heading2"/>
      </w:pPr>
      <w:r>
        <w:t>Current number to use in public messaging</w:t>
      </w:r>
    </w:p>
    <w:p w14:paraId="27FC08CF" w14:textId="77777777" w:rsidR="004B0CA3" w:rsidRDefault="0082363B">
      <w:r>
        <w:rPr>
          <w:rFonts w:eastAsia="Calibri" w:cs="Calibri"/>
        </w:rPr>
        <w:t>The strongest current public estimate located is up to approximately $175 billion in total potential IEEPA refunds. Do not present $177 billion as a verified exact or untouched remaining pool unless the program provides newer authoritative documentation.</w:t>
      </w:r>
    </w:p>
    <w:p w14:paraId="0AEAC53E" w14:textId="77777777" w:rsidR="004B0CA3" w:rsidRDefault="0082363B">
      <w:pPr>
        <w:keepLines/>
        <w:pBdr>
          <w:left w:val="single" w:sz="22" w:space="8" w:color="14B8A6"/>
        </w:pBdr>
        <w:shd w:val="clear" w:color="auto" w:fill="E8F8F5"/>
        <w:spacing w:before="40" w:after="200" w:line="288" w:lineRule="auto"/>
        <w:ind w:left="173" w:right="115"/>
      </w:pPr>
      <w:r>
        <w:rPr>
          <w:rFonts w:eastAsia="Calibri" w:cs="Calibri"/>
          <w:b/>
          <w:color w:val="14B8A6"/>
          <w:sz w:val="19"/>
        </w:rPr>
        <w:t xml:space="preserve">SAFER HEADLINE  </w:t>
      </w:r>
      <w:r>
        <w:rPr>
          <w:rFonts w:eastAsia="Calibri" w:cs="Calibri"/>
          <w:sz w:val="21"/>
        </w:rPr>
        <w:t>U.S. importers may be eligible to recover part of an estimated $175 billion in total potential IEEPA duty refunds.</w:t>
      </w:r>
    </w:p>
    <w:p w14:paraId="6B9D9F68" w14:textId="77777777" w:rsidR="004B0CA3" w:rsidRDefault="0082363B">
      <w:r>
        <w:rPr>
          <w:rFonts w:eastAsia="Calibri" w:cs="Calibri"/>
          <w:color w:val="5E7182"/>
        </w:rPr>
        <w:t>Educational strategy guide only. Eligibility, filing authority, deadlines, refund calculations and professional-service arrangements should be confirmed by the authorized customs and legal professionals involved in each case.</w:t>
      </w:r>
    </w:p>
    <w:p w14:paraId="18F9485A" w14:textId="77777777" w:rsidR="004B0CA3" w:rsidRDefault="0082363B">
      <w:r>
        <w:br w:type="page"/>
      </w:r>
    </w:p>
    <w:p w14:paraId="2E596A01" w14:textId="77777777" w:rsidR="004B0CA3" w:rsidRDefault="0082363B">
      <w:pPr>
        <w:keepNext/>
        <w:spacing w:after="60" w:line="240" w:lineRule="auto"/>
      </w:pPr>
      <w:r>
        <w:rPr>
          <w:rFonts w:eastAsia="Calibri" w:cs="Calibri"/>
          <w:b/>
          <w:caps/>
          <w:color w:val="14B8A6"/>
          <w:sz w:val="17"/>
        </w:rPr>
        <w:lastRenderedPageBreak/>
        <w:t>SOURCES &amp; TOOLS</w:t>
      </w:r>
    </w:p>
    <w:p w14:paraId="374482E1" w14:textId="77777777" w:rsidR="004B0CA3" w:rsidRDefault="0082363B">
      <w:pPr>
        <w:keepNext/>
        <w:keepLines/>
        <w:pBdr>
          <w:bottom w:val="single" w:sz="9" w:space="5" w:color="14B8A6"/>
        </w:pBdr>
        <w:spacing w:line="240" w:lineRule="auto"/>
      </w:pPr>
      <w:r>
        <w:rPr>
          <w:rFonts w:eastAsia="Calibri" w:cs="Calibri"/>
          <w:b/>
          <w:color w:val="071B33"/>
          <w:sz w:val="48"/>
        </w:rPr>
        <w:t>Current guidance and prospecting resources</w:t>
      </w:r>
    </w:p>
    <w:p w14:paraId="5A5DB566" w14:textId="77777777" w:rsidR="004B0CA3" w:rsidRDefault="0082363B">
      <w:pPr>
        <w:keepNext/>
        <w:spacing w:after="260" w:line="276" w:lineRule="auto"/>
      </w:pPr>
      <w:r>
        <w:rPr>
          <w:rFonts w:eastAsia="Calibri" w:cs="Calibri"/>
          <w:color w:val="5E7182"/>
          <w:sz w:val="23"/>
        </w:rPr>
        <w:t>Links were checked during preparation on July 21, 2026. Event details and government procedures can change.</w:t>
      </w:r>
    </w:p>
    <w:p w14:paraId="5804E4B7" w14:textId="77777777" w:rsidR="004B0CA3" w:rsidRDefault="0082363B">
      <w:pPr>
        <w:pStyle w:val="Heading2"/>
      </w:pPr>
      <w:r>
        <w:t>Government and official trade resources</w:t>
      </w:r>
    </w:p>
    <w:p w14:paraId="4EC73871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CBP IEEPA Duty Refunds</w:t>
      </w:r>
      <w:r>
        <w:rPr>
          <w:rFonts w:eastAsia="Calibri" w:cs="Calibri"/>
          <w:color w:val="5E7182"/>
          <w:sz w:val="18"/>
        </w:rPr>
        <w:t xml:space="preserve"> - Eligibility, CAPE and refund guidance </w:t>
      </w:r>
      <w:hyperlink r:id="rId8">
        <w:r>
          <w:rPr>
            <w:color w:val="0EA5C6"/>
            <w:u w:val="single"/>
          </w:rPr>
          <w:t>Open source</w:t>
        </w:r>
      </w:hyperlink>
    </w:p>
    <w:p w14:paraId="4BCD1979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CBP Form 7501</w:t>
      </w:r>
      <w:r>
        <w:rPr>
          <w:rFonts w:eastAsia="Calibri" w:cs="Calibri"/>
          <w:color w:val="5E7182"/>
          <w:sz w:val="18"/>
        </w:rPr>
        <w:t xml:space="preserve"> - Entry summary and importer-of-record information </w:t>
      </w:r>
      <w:hyperlink r:id="rId9">
        <w:r>
          <w:rPr>
            <w:color w:val="0EA5C6"/>
            <w:u w:val="single"/>
          </w:rPr>
          <w:t>Open source</w:t>
        </w:r>
      </w:hyperlink>
    </w:p>
    <w:p w14:paraId="1657094E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CBP Permitted Customs Broker Listing</w:t>
      </w:r>
      <w:r>
        <w:rPr>
          <w:rFonts w:eastAsia="Calibri" w:cs="Calibri"/>
          <w:color w:val="5E7182"/>
          <w:sz w:val="18"/>
        </w:rPr>
        <w:t xml:space="preserve"> - Public broker prospecting source </w:t>
      </w:r>
      <w:hyperlink r:id="rId10">
        <w:r>
          <w:rPr>
            <w:color w:val="0EA5C6"/>
            <w:u w:val="single"/>
          </w:rPr>
          <w:t>Open source</w:t>
        </w:r>
      </w:hyperlink>
    </w:p>
    <w:p w14:paraId="240CC0B7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CBP Customs Broker FAQs</w:t>
      </w:r>
      <w:r>
        <w:rPr>
          <w:rFonts w:eastAsia="Calibri" w:cs="Calibri"/>
          <w:color w:val="5E7182"/>
          <w:sz w:val="18"/>
        </w:rPr>
        <w:t xml:space="preserve"> - Client confidentiality and broker rules </w:t>
      </w:r>
      <w:hyperlink r:id="rId11">
        <w:r>
          <w:rPr>
            <w:color w:val="0EA5C6"/>
            <w:u w:val="single"/>
          </w:rPr>
          <w:t>Open source</w:t>
        </w:r>
      </w:hyperlink>
    </w:p>
    <w:p w14:paraId="1849FBFB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U.S. Census International Trade Data</w:t>
      </w:r>
      <w:r>
        <w:rPr>
          <w:rFonts w:eastAsia="Calibri" w:cs="Calibri"/>
          <w:color w:val="5E7182"/>
          <w:sz w:val="18"/>
        </w:rPr>
        <w:t xml:space="preserve"> - Port, state, country and commodity analysis </w:t>
      </w:r>
      <w:hyperlink r:id="rId12">
        <w:r>
          <w:rPr>
            <w:color w:val="0EA5C6"/>
            <w:u w:val="single"/>
          </w:rPr>
          <w:t>Open source</w:t>
        </w:r>
      </w:hyperlink>
    </w:p>
    <w:p w14:paraId="69549B4E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USA Trade Online</w:t>
      </w:r>
      <w:r>
        <w:rPr>
          <w:rFonts w:eastAsia="Calibri" w:cs="Calibri"/>
          <w:color w:val="5E7182"/>
          <w:sz w:val="18"/>
        </w:rPr>
        <w:t xml:space="preserve"> - Official trade-report builder </w:t>
      </w:r>
      <w:hyperlink r:id="rId13">
        <w:r>
          <w:rPr>
            <w:color w:val="0EA5C6"/>
            <w:u w:val="single"/>
          </w:rPr>
          <w:t>Open source</w:t>
        </w:r>
      </w:hyperlink>
    </w:p>
    <w:p w14:paraId="6DD6F858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Foreign-Trade Zones Directory</w:t>
      </w:r>
      <w:r>
        <w:rPr>
          <w:rFonts w:eastAsia="Calibri" w:cs="Calibri"/>
          <w:color w:val="5E7182"/>
          <w:sz w:val="18"/>
        </w:rPr>
        <w:t xml:space="preserve"> - FTZ grantees, zones and port relationships </w:t>
      </w:r>
      <w:hyperlink r:id="rId14">
        <w:r>
          <w:rPr>
            <w:color w:val="0EA5C6"/>
            <w:u w:val="single"/>
          </w:rPr>
          <w:t>Open source</w:t>
        </w:r>
      </w:hyperlink>
    </w:p>
    <w:p w14:paraId="6B022F38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Penn Wharton Budget Model</w:t>
      </w:r>
      <w:r>
        <w:rPr>
          <w:rFonts w:eastAsia="Calibri" w:cs="Calibri"/>
          <w:color w:val="5E7182"/>
          <w:sz w:val="18"/>
        </w:rPr>
        <w:t xml:space="preserve"> - Estimated potential refund total </w:t>
      </w:r>
      <w:hyperlink r:id="rId15">
        <w:r>
          <w:rPr>
            <w:color w:val="0EA5C6"/>
            <w:u w:val="single"/>
          </w:rPr>
          <w:t>Open source</w:t>
        </w:r>
      </w:hyperlink>
    </w:p>
    <w:p w14:paraId="4DDA5CDF" w14:textId="77777777" w:rsidR="004B0CA3" w:rsidRDefault="0082363B">
      <w:pPr>
        <w:pStyle w:val="Heading2"/>
      </w:pPr>
      <w:r>
        <w:t>Associations and events</w:t>
      </w:r>
    </w:p>
    <w:p w14:paraId="4D29B5A5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NCBFAA</w:t>
      </w:r>
      <w:r>
        <w:rPr>
          <w:rFonts w:eastAsia="Calibri" w:cs="Calibri"/>
          <w:color w:val="5E7182"/>
          <w:sz w:val="18"/>
        </w:rPr>
        <w:t xml:space="preserve"> - National broker and forwarder association </w:t>
      </w:r>
      <w:hyperlink r:id="rId16">
        <w:r>
          <w:rPr>
            <w:color w:val="0EA5C6"/>
            <w:u w:val="single"/>
          </w:rPr>
          <w:t>Open source</w:t>
        </w:r>
      </w:hyperlink>
    </w:p>
    <w:p w14:paraId="542A6497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NCBFAA Affiliate Network</w:t>
      </w:r>
      <w:r>
        <w:rPr>
          <w:rFonts w:eastAsia="Calibri" w:cs="Calibri"/>
          <w:color w:val="5E7182"/>
          <w:sz w:val="18"/>
        </w:rPr>
        <w:t xml:space="preserve"> - Local broker associations </w:t>
      </w:r>
      <w:hyperlink r:id="rId17">
        <w:r>
          <w:rPr>
            <w:color w:val="0EA5C6"/>
            <w:u w:val="single"/>
          </w:rPr>
          <w:t>Open source</w:t>
        </w:r>
      </w:hyperlink>
    </w:p>
    <w:p w14:paraId="7961D30A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NCBFAA Conferences</w:t>
      </w:r>
      <w:r>
        <w:rPr>
          <w:rFonts w:eastAsia="Calibri" w:cs="Calibri"/>
          <w:color w:val="5E7182"/>
          <w:sz w:val="18"/>
        </w:rPr>
        <w:t xml:space="preserve"> - Global Trade Educational Conference </w:t>
      </w:r>
      <w:hyperlink r:id="rId18">
        <w:r>
          <w:rPr>
            <w:color w:val="0EA5C6"/>
            <w:u w:val="single"/>
          </w:rPr>
          <w:t>Open source</w:t>
        </w:r>
      </w:hyperlink>
    </w:p>
    <w:p w14:paraId="38EA0CD6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ICPA Upcoming Conferences</w:t>
      </w:r>
      <w:r>
        <w:rPr>
          <w:rFonts w:eastAsia="Calibri" w:cs="Calibri"/>
          <w:color w:val="5E7182"/>
          <w:sz w:val="18"/>
        </w:rPr>
        <w:t xml:space="preserve"> - Trade-compliance events </w:t>
      </w:r>
      <w:hyperlink r:id="rId19">
        <w:r>
          <w:rPr>
            <w:color w:val="0EA5C6"/>
            <w:u w:val="single"/>
          </w:rPr>
          <w:t>Open source</w:t>
        </w:r>
      </w:hyperlink>
    </w:p>
    <w:p w14:paraId="05FB3E4B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NAFTZ 2026 Annual Conference</w:t>
      </w:r>
      <w:r>
        <w:rPr>
          <w:rFonts w:eastAsia="Calibri" w:cs="Calibri"/>
          <w:color w:val="5E7182"/>
          <w:sz w:val="18"/>
        </w:rPr>
        <w:t xml:space="preserve"> - October 18–21 in San Diego </w:t>
      </w:r>
      <w:hyperlink r:id="rId20">
        <w:r>
          <w:rPr>
            <w:color w:val="0EA5C6"/>
            <w:u w:val="single"/>
          </w:rPr>
          <w:t>Open source</w:t>
        </w:r>
      </w:hyperlink>
    </w:p>
    <w:p w14:paraId="129180D7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AAEI</w:t>
      </w:r>
      <w:r>
        <w:rPr>
          <w:rFonts w:eastAsia="Calibri" w:cs="Calibri"/>
          <w:color w:val="5E7182"/>
          <w:sz w:val="18"/>
        </w:rPr>
        <w:t xml:space="preserve"> - Importer and exporter association </w:t>
      </w:r>
      <w:hyperlink r:id="rId21">
        <w:r>
          <w:rPr>
            <w:color w:val="0EA5C6"/>
            <w:u w:val="single"/>
          </w:rPr>
          <w:t>Open source</w:t>
        </w:r>
      </w:hyperlink>
    </w:p>
    <w:p w14:paraId="7308776B" w14:textId="77777777" w:rsidR="004B0CA3" w:rsidRDefault="0082363B">
      <w:pPr>
        <w:pStyle w:val="Heading2"/>
      </w:pPr>
      <w:r>
        <w:t>Company-level trade-data tools</w:t>
      </w:r>
    </w:p>
    <w:p w14:paraId="26DA305E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ImportYeti</w:t>
      </w:r>
      <w:r>
        <w:rPr>
          <w:rFonts w:eastAsia="Calibri" w:cs="Calibri"/>
          <w:color w:val="5E7182"/>
          <w:sz w:val="18"/>
        </w:rPr>
        <w:t xml:space="preserve"> - Starting point for ocean shipment research </w:t>
      </w:r>
      <w:hyperlink r:id="rId22">
        <w:r>
          <w:rPr>
            <w:color w:val="0EA5C6"/>
            <w:u w:val="single"/>
          </w:rPr>
          <w:t>Open source</w:t>
        </w:r>
      </w:hyperlink>
    </w:p>
    <w:p w14:paraId="1B7E6097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ImportGenius</w:t>
      </w:r>
      <w:r>
        <w:rPr>
          <w:rFonts w:eastAsia="Calibri" w:cs="Calibri"/>
          <w:color w:val="5E7182"/>
          <w:sz w:val="18"/>
        </w:rPr>
        <w:t xml:space="preserve"> - Paid bill-of-lading and trade data </w:t>
      </w:r>
      <w:hyperlink r:id="rId23">
        <w:r>
          <w:rPr>
            <w:color w:val="0EA5C6"/>
            <w:u w:val="single"/>
          </w:rPr>
          <w:t>Open source</w:t>
        </w:r>
      </w:hyperlink>
    </w:p>
    <w:p w14:paraId="5A4C3D8C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Panjiva</w:t>
      </w:r>
      <w:r>
        <w:rPr>
          <w:rFonts w:eastAsia="Calibri" w:cs="Calibri"/>
          <w:color w:val="5E7182"/>
          <w:sz w:val="18"/>
        </w:rPr>
        <w:t xml:space="preserve"> - Global supply-chain intelligence </w:t>
      </w:r>
      <w:hyperlink r:id="rId24">
        <w:r>
          <w:rPr>
            <w:color w:val="0EA5C6"/>
            <w:u w:val="single"/>
          </w:rPr>
          <w:t>Open source</w:t>
        </w:r>
      </w:hyperlink>
    </w:p>
    <w:p w14:paraId="39E202A5" w14:textId="77777777" w:rsidR="004B0CA3" w:rsidRDefault="0082363B">
      <w:pPr>
        <w:spacing w:after="80" w:line="276" w:lineRule="auto"/>
      </w:pPr>
      <w:r>
        <w:rPr>
          <w:rFonts w:eastAsia="Calibri" w:cs="Calibri"/>
          <w:b/>
          <w:color w:val="071B33"/>
          <w:sz w:val="19"/>
        </w:rPr>
        <w:t>Descartes Datamyne</w:t>
      </w:r>
      <w:r>
        <w:rPr>
          <w:rFonts w:eastAsia="Calibri" w:cs="Calibri"/>
          <w:color w:val="5E7182"/>
          <w:sz w:val="18"/>
        </w:rPr>
        <w:t xml:space="preserve"> - Importer and shipment intelligence </w:t>
      </w:r>
      <w:hyperlink r:id="rId25">
        <w:r>
          <w:rPr>
            <w:color w:val="0EA5C6"/>
            <w:u w:val="single"/>
          </w:rPr>
          <w:t>Open source</w:t>
        </w:r>
      </w:hyperlink>
    </w:p>
    <w:p w14:paraId="2E8C452A" w14:textId="77777777" w:rsidR="004B0CA3" w:rsidRDefault="0082363B">
      <w:pPr>
        <w:keepLines/>
        <w:pBdr>
          <w:left w:val="single" w:sz="22" w:space="8" w:color="F4B942"/>
        </w:pBdr>
        <w:shd w:val="clear" w:color="auto" w:fill="FFF6DF"/>
        <w:spacing w:before="40" w:after="0" w:line="288" w:lineRule="auto"/>
        <w:ind w:left="173" w:right="115"/>
      </w:pPr>
      <w:r>
        <w:rPr>
          <w:rFonts w:eastAsia="Calibri" w:cs="Calibri"/>
          <w:b/>
          <w:color w:val="F4B942"/>
          <w:sz w:val="19"/>
        </w:rPr>
        <w:t xml:space="preserve">RECOMMENDED NEXT STEP  </w:t>
      </w:r>
      <w:r>
        <w:rPr>
          <w:rFonts w:eastAsia="Calibri" w:cs="Calibri"/>
          <w:sz w:val="21"/>
        </w:rPr>
        <w:t>Turn this guide into three ready-to-launch assets: a broker partnership email, a chamber/FTZ webinar invitation and a five-question importer qualification form.</w:t>
      </w:r>
    </w:p>
    <w:sectPr w:rsidR="004B0CA3" w:rsidSect="002D7E23">
      <w:headerReference w:type="default" r:id="rId26"/>
      <w:footerReference w:type="default" r:id="rId27"/>
      <w:pgSz w:w="12240" w:h="15840"/>
      <w:pgMar w:top="720" w:right="720" w:bottom="720" w:left="72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28BFD" w14:textId="77777777" w:rsidR="00A25F99" w:rsidRDefault="00A25F99">
      <w:pPr>
        <w:spacing w:after="0" w:line="240" w:lineRule="auto"/>
      </w:pPr>
      <w:r>
        <w:separator/>
      </w:r>
    </w:p>
  </w:endnote>
  <w:endnote w:type="continuationSeparator" w:id="0">
    <w:p w14:paraId="73250797" w14:textId="77777777" w:rsidR="00A25F99" w:rsidRDefault="00A2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EC5B" w14:textId="77777777" w:rsidR="004B0CA3" w:rsidRDefault="0082363B">
    <w:pPr>
      <w:pStyle w:val="Footer"/>
      <w:jc w:val="right"/>
    </w:pPr>
    <w:r>
      <w:rPr>
        <w:rFonts w:eastAsia="Calibri" w:cs="Calibri"/>
        <w:b/>
        <w:color w:val="5E7182"/>
        <w:sz w:val="17"/>
      </w:rPr>
      <w:t xml:space="preserve">DBR STRATEGY GUIDE   •   PAGE </w:t>
    </w:r>
    <w:r>
      <w:fldChar w:fldCharType="begin"/>
    </w:r>
    <w:r>
      <w:instrText>PAGE</w:instrText>
    </w:r>
    <w:r>
      <w:fldChar w:fldCharType="separate"/>
    </w:r>
    <w:r>
      <w:rPr>
        <w:color w:val="5E7182"/>
        <w:sz w:val="16"/>
      </w:rPr>
      <w:t>1</w:t>
    </w:r>
    <w:r>
      <w:rPr>
        <w:color w:val="5E7182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0560E" w14:textId="77777777" w:rsidR="00A25F99" w:rsidRDefault="00A25F99">
      <w:pPr>
        <w:spacing w:after="0" w:line="240" w:lineRule="auto"/>
      </w:pPr>
      <w:r>
        <w:separator/>
      </w:r>
    </w:p>
  </w:footnote>
  <w:footnote w:type="continuationSeparator" w:id="0">
    <w:p w14:paraId="37D2F666" w14:textId="77777777" w:rsidR="00A25F99" w:rsidRDefault="00A25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2B9E" w14:textId="77777777" w:rsidR="004B0CA3" w:rsidRDefault="0082363B">
    <w:pPr>
      <w:pStyle w:val="Header"/>
      <w:pBdr>
        <w:bottom w:val="single" w:sz="5" w:space="5" w:color="CFDCE4"/>
      </w:pBdr>
    </w:pPr>
    <w:r>
      <w:rPr>
        <w:rFonts w:eastAsia="Calibri" w:cs="Calibri"/>
        <w:b/>
        <w:color w:val="071B33"/>
        <w:sz w:val="17"/>
      </w:rPr>
      <w:t>DREAMS BUSINESS RESOURCES</w:t>
    </w:r>
    <w:r>
      <w:rPr>
        <w:rFonts w:eastAsia="Calibri" w:cs="Calibri"/>
        <w:b/>
        <w:color w:val="14B8A6"/>
        <w:sz w:val="17"/>
      </w:rPr>
      <w:t xml:space="preserve">   /   TARIFF REFUND PROSPECTING FIELD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0A79D6"/>
    <w:multiLevelType w:val="singleLevel"/>
    <w:tmpl w:val="B7140886"/>
    <w:lvl w:ilvl="0">
      <w:start w:val="1"/>
      <w:numFmt w:val="decimal"/>
      <w:pStyle w:val="ListBullet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</w:lvl>
  </w:abstractNum>
  <w:abstractNum w:abstractNumId="10" w15:restartNumberingAfterBreak="0">
    <w:nsid w:val="36EF3A9F"/>
    <w:multiLevelType w:val="singleLevel"/>
    <w:tmpl w:val="25767B42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</w:lvl>
  </w:abstractNum>
  <w:abstractNum w:abstractNumId="11" w15:restartNumberingAfterBreak="0">
    <w:nsid w:val="5D6535B3"/>
    <w:multiLevelType w:val="singleLevel"/>
    <w:tmpl w:val="C436E1CA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300" w:lineRule="auto"/>
        <w:ind w:left="540" w:hanging="270"/>
      </w:pPr>
    </w:lvl>
  </w:abstractNum>
  <w:num w:numId="1" w16cid:durableId="15804780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7E23"/>
    <w:rsid w:val="00326F90"/>
    <w:rsid w:val="003751A3"/>
    <w:rsid w:val="003D6B0D"/>
    <w:rsid w:val="00497C9F"/>
    <w:rsid w:val="004B0CA3"/>
    <w:rsid w:val="00523DF6"/>
    <w:rsid w:val="005B141A"/>
    <w:rsid w:val="006429E4"/>
    <w:rsid w:val="0082363B"/>
    <w:rsid w:val="00A25F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8AEB6C"/>
  <w14:defaultImageDpi w14:val="300"/>
  <w15:docId w15:val="{3BD9B1FD-79DC-4312-A959-3517EE57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0344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52" w:lineRule="auto"/>
      <w:outlineLvl w:val="0"/>
    </w:pPr>
    <w:rPr>
      <w:rFonts w:asciiTheme="majorHAnsi" w:eastAsiaTheme="majorEastAsia" w:hAnsiTheme="majorHAnsi" w:cstheme="majorBidi"/>
      <w:b/>
      <w:bCs/>
      <w:color w:val="071B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52" w:lineRule="auto"/>
      <w:outlineLvl w:val="1"/>
    </w:pPr>
    <w:rPr>
      <w:rFonts w:asciiTheme="majorHAnsi" w:eastAsiaTheme="majorEastAsia" w:hAnsiTheme="majorHAnsi" w:cstheme="majorBidi"/>
      <w:b/>
      <w:bCs/>
      <w:color w:val="14B8A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2" w:lineRule="auto"/>
      <w:outlineLvl w:val="2"/>
    </w:pPr>
    <w:rPr>
      <w:rFonts w:asciiTheme="majorHAnsi" w:eastAsiaTheme="majorEastAsia" w:hAnsiTheme="majorHAnsi" w:cstheme="majorBidi"/>
      <w:b/>
      <w:bCs/>
      <w:color w:val="123B5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p.gov/trade/programs-administration/trade-remedies/ieepa-duty-refunds" TargetMode="External"/><Relationship Id="rId13" Type="http://schemas.openxmlformats.org/officeDocument/2006/relationships/hyperlink" Target="https://usatradeonline.census.gov/" TargetMode="External"/><Relationship Id="rId18" Type="http://schemas.openxmlformats.org/officeDocument/2006/relationships/hyperlink" Target="https://ncbfaa.org/membership-benefits/conferences-events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aaei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ensus.gov/foreign-trade/data/" TargetMode="External"/><Relationship Id="rId17" Type="http://schemas.openxmlformats.org/officeDocument/2006/relationships/hyperlink" Target="https://ncbfaa.org/about-ncbfaa/affiliate-presidents-network" TargetMode="External"/><Relationship Id="rId25" Type="http://schemas.openxmlformats.org/officeDocument/2006/relationships/hyperlink" Target="https://www.datamyne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cbfaa.org/" TargetMode="External"/><Relationship Id="rId20" Type="http://schemas.openxmlformats.org/officeDocument/2006/relationships/hyperlink" Target="https://members.naftz.org/eventcalendar/Details/annual-conference-exposition-2026-oct-18-21-1385418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p.gov/trade/programs-administration/customs-brokers/frequently-asked-questions" TargetMode="External"/><Relationship Id="rId24" Type="http://schemas.openxmlformats.org/officeDocument/2006/relationships/hyperlink" Target="https://panjiva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udgetmodel.wharton.upenn.edu/p/2026-02-20-supreme-court-tariff-ruling/" TargetMode="External"/><Relationship Id="rId23" Type="http://schemas.openxmlformats.org/officeDocument/2006/relationships/hyperlink" Target="https://www.importgenius.com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cbp.gov/about/contact/brokers-listing" TargetMode="External"/><Relationship Id="rId19" Type="http://schemas.openxmlformats.org/officeDocument/2006/relationships/hyperlink" Target="https://www.icpainc.org/category/upcoming-events/upcoming-conferenc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bp.gov/trade/programs-administration/entry-summary/cbp-form-7501" TargetMode="External"/><Relationship Id="rId14" Type="http://schemas.openxmlformats.org/officeDocument/2006/relationships/hyperlink" Target="https://ofis.trade.gov/Zones" TargetMode="External"/><Relationship Id="rId22" Type="http://schemas.openxmlformats.org/officeDocument/2006/relationships/hyperlink" Target="https://www.importyeti.com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61374F2-0BF7-4BBB-AC44-D328EE09C7A0}">
  <we:reference id="wa200010453" version="1.0.0.1" store="en-US" storeType="OMEX"/>
  <we:alternateReferences>
    <we:reference id="WA200010453" version="1.0.0.1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2416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Tariff Refund Prospecting Field Guide</dc:title>
  <dc:subject>Ports, border crossings, cargo hubs, associations and high-leverage prospecting</dc:subject>
  <dc:creator>Dreams Business Resources</dc:creator>
  <cp:keywords>Tariff refund, IEEPA, importer of record, customs broker, prospecting, DBR</cp:keywords>
  <dc:description>generated by python-docx</dc:description>
  <cp:lastModifiedBy>Mike Hinsvark</cp:lastModifiedBy>
  <cp:revision>4</cp:revision>
  <dcterms:created xsi:type="dcterms:W3CDTF">2026-07-22T00:25:00Z</dcterms:created>
  <dcterms:modified xsi:type="dcterms:W3CDTF">2026-09-20T18:44:00Z</dcterms:modified>
  <cp:category/>
</cp:coreProperties>
</file>