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10454"/>
      </w:tblGrid>
      <w:tr w:rsidR="00997D86" w14:paraId="15A47439" w14:textId="77777777">
        <w:trPr>
          <w:cantSplit/>
          <w:jc w:val="center"/>
        </w:trPr>
        <w:tc>
          <w:tcPr>
            <w:tcW w:w="10454" w:type="dxa"/>
            <w:shd w:val="clear" w:color="auto" w:fill="0B1F33"/>
            <w:tcMar>
              <w:top w:w="320" w:type="dxa"/>
              <w:left w:w="320" w:type="dxa"/>
              <w:bottom w:w="290" w:type="dxa"/>
              <w:right w:w="320" w:type="dxa"/>
            </w:tcMar>
          </w:tcPr>
          <w:p w14:paraId="7743103D" w14:textId="77777777" w:rsidR="00997D86" w:rsidRDefault="00EF2659">
            <w:pPr>
              <w:spacing w:after="160" w:line="240" w:lineRule="auto"/>
            </w:pPr>
            <w:r>
              <w:rPr>
                <w:b/>
                <w:color w:val="00A7A5"/>
                <w:sz w:val="26"/>
              </w:rPr>
              <w:t>TRA</w:t>
            </w:r>
          </w:p>
          <w:p w14:paraId="62D2DF4E" w14:textId="77777777" w:rsidR="00997D86" w:rsidRDefault="00EF2659">
            <w:pPr>
              <w:spacing w:after="140" w:line="228" w:lineRule="auto"/>
            </w:pPr>
            <w:r>
              <w:rPr>
                <w:rFonts w:ascii="Aptos Display" w:hAnsi="Aptos Display"/>
                <w:b/>
                <w:color w:val="FFFFFF"/>
                <w:sz w:val="54"/>
              </w:rPr>
              <w:t>END-TO-END TARIFF</w:t>
            </w:r>
            <w:r>
              <w:rPr>
                <w:rFonts w:ascii="Aptos Display" w:hAnsi="Aptos Display"/>
                <w:b/>
                <w:color w:val="FFFFFF"/>
                <w:sz w:val="54"/>
              </w:rPr>
              <w:br/>
              <w:t>RECOVERY &amp; FUNDING PLATFORM</w:t>
            </w:r>
          </w:p>
          <w:p w14:paraId="4ECDA9F2" w14:textId="77777777" w:rsidR="00997D86" w:rsidRDefault="00EF2659">
            <w:pPr>
              <w:spacing w:after="260"/>
            </w:pPr>
            <w:r>
              <w:rPr>
                <w:color w:val="DDE8EF"/>
                <w:sz w:val="22"/>
              </w:rPr>
              <w:t>A technology-enabled recovery platform supporting importers and customs brokers with complex IEEPA-related tariff refund matters, professional review, filing support, tracking, and optional advance funding.</w:t>
            </w:r>
          </w:p>
          <w:p w14:paraId="42FD975C" w14:textId="77777777" w:rsidR="00997D86" w:rsidRDefault="00EF2659">
            <w:pPr>
              <w:spacing w:after="0" w:line="240" w:lineRule="auto"/>
            </w:pPr>
            <w:r>
              <w:rPr>
                <w:b/>
                <w:color w:val="D5A62E"/>
                <w:sz w:val="18"/>
              </w:rPr>
              <w:t>EXECUTIVE OVERVIEW</w:t>
            </w:r>
          </w:p>
        </w:tc>
      </w:tr>
    </w:tbl>
    <w:p w14:paraId="610B7357" w14:textId="77777777" w:rsidR="00997D86" w:rsidRDefault="00997D86">
      <w:pPr>
        <w:spacing w:after="80"/>
      </w:pPr>
    </w:p>
    <w:tbl>
      <w:tblPr>
        <w:tblW w:w="0" w:type="auto"/>
        <w:jc w:val="center"/>
        <w:tblLayout w:type="fixed"/>
        <w:tblLook w:val="04A0" w:firstRow="1" w:lastRow="0" w:firstColumn="1" w:lastColumn="0" w:noHBand="0" w:noVBand="1"/>
      </w:tblPr>
      <w:tblGrid>
        <w:gridCol w:w="2520"/>
        <w:gridCol w:w="2520"/>
        <w:gridCol w:w="2520"/>
        <w:gridCol w:w="2520"/>
      </w:tblGrid>
      <w:tr w:rsidR="00997D86" w14:paraId="156BCA26" w14:textId="77777777">
        <w:trPr>
          <w:cantSplit/>
          <w:jc w:val="center"/>
        </w:trPr>
        <w:tc>
          <w:tcPr>
            <w:tcW w:w="2520" w:type="dxa"/>
            <w:tcBorders>
              <w:top w:val="single" w:sz="8" w:space="0" w:color="00A7A5"/>
              <w:left w:val="single" w:sz="6" w:space="0" w:color="D8E4E9"/>
              <w:bottom w:val="single" w:sz="6" w:space="0" w:color="D8E4E9"/>
              <w:right w:val="single" w:sz="6" w:space="0" w:color="D8E4E9"/>
            </w:tcBorders>
            <w:shd w:val="clear" w:color="auto" w:fill="F2F7F9"/>
            <w:tcMar>
              <w:top w:w="140" w:type="dxa"/>
              <w:left w:w="90" w:type="dxa"/>
              <w:bottom w:w="140" w:type="dxa"/>
              <w:right w:w="90" w:type="dxa"/>
            </w:tcMar>
          </w:tcPr>
          <w:p w14:paraId="0F54B922" w14:textId="77777777" w:rsidR="00997D86" w:rsidRDefault="00EF2659">
            <w:pPr>
              <w:spacing w:after="60" w:line="240" w:lineRule="auto"/>
              <w:jc w:val="center"/>
            </w:pPr>
            <w:r>
              <w:rPr>
                <w:b/>
                <w:color w:val="0B1F33"/>
                <w:sz w:val="30"/>
              </w:rPr>
              <w:t>7+ YEARS</w:t>
            </w:r>
          </w:p>
          <w:p w14:paraId="404F0FBD" w14:textId="77777777" w:rsidR="00997D86" w:rsidRDefault="00EF2659">
            <w:pPr>
              <w:spacing w:after="0" w:line="247" w:lineRule="auto"/>
              <w:jc w:val="center"/>
            </w:pPr>
            <w:r>
              <w:rPr>
                <w:color w:val="5F7180"/>
                <w:sz w:val="15"/>
              </w:rPr>
              <w:t>Government recovery experience*</w:t>
            </w:r>
          </w:p>
        </w:tc>
        <w:tc>
          <w:tcPr>
            <w:tcW w:w="2520" w:type="dxa"/>
            <w:tcBorders>
              <w:top w:val="single" w:sz="8" w:space="0" w:color="00A7A5"/>
              <w:left w:val="single" w:sz="6" w:space="0" w:color="D8E4E9"/>
              <w:bottom w:val="single" w:sz="6" w:space="0" w:color="D8E4E9"/>
              <w:right w:val="single" w:sz="6" w:space="0" w:color="D8E4E9"/>
            </w:tcBorders>
            <w:shd w:val="clear" w:color="auto" w:fill="F2F7F9"/>
            <w:tcMar>
              <w:top w:w="140" w:type="dxa"/>
              <w:left w:w="90" w:type="dxa"/>
              <w:bottom w:w="140" w:type="dxa"/>
              <w:right w:w="90" w:type="dxa"/>
            </w:tcMar>
          </w:tcPr>
          <w:p w14:paraId="341B9CF4" w14:textId="77777777" w:rsidR="00997D86" w:rsidRDefault="00EF2659">
            <w:pPr>
              <w:spacing w:after="60" w:line="240" w:lineRule="auto"/>
              <w:jc w:val="center"/>
            </w:pPr>
            <w:r>
              <w:rPr>
                <w:b/>
                <w:color w:val="0B1F33"/>
                <w:sz w:val="30"/>
              </w:rPr>
              <w:t>BILLIONS</w:t>
            </w:r>
          </w:p>
          <w:p w14:paraId="22610792" w14:textId="77777777" w:rsidR="00997D86" w:rsidRDefault="00EF2659">
            <w:pPr>
              <w:spacing w:after="0" w:line="247" w:lineRule="auto"/>
              <w:jc w:val="center"/>
            </w:pPr>
            <w:r>
              <w:rPr>
                <w:color w:val="5F7180"/>
                <w:sz w:val="15"/>
              </w:rPr>
              <w:t>Reported client recoveries*</w:t>
            </w:r>
          </w:p>
        </w:tc>
        <w:tc>
          <w:tcPr>
            <w:tcW w:w="2520" w:type="dxa"/>
            <w:tcBorders>
              <w:top w:val="single" w:sz="8" w:space="0" w:color="00A7A5"/>
              <w:left w:val="single" w:sz="6" w:space="0" w:color="D8E4E9"/>
              <w:bottom w:val="single" w:sz="6" w:space="0" w:color="D8E4E9"/>
              <w:right w:val="single" w:sz="6" w:space="0" w:color="D8E4E9"/>
            </w:tcBorders>
            <w:shd w:val="clear" w:color="auto" w:fill="F2F7F9"/>
            <w:tcMar>
              <w:top w:w="140" w:type="dxa"/>
              <w:left w:w="90" w:type="dxa"/>
              <w:bottom w:w="140" w:type="dxa"/>
              <w:right w:w="90" w:type="dxa"/>
            </w:tcMar>
          </w:tcPr>
          <w:p w14:paraId="7F6C3816" w14:textId="77777777" w:rsidR="00997D86" w:rsidRDefault="00EF2659">
            <w:pPr>
              <w:spacing w:after="60" w:line="240" w:lineRule="auto"/>
              <w:jc w:val="center"/>
            </w:pPr>
            <w:r>
              <w:rPr>
                <w:b/>
                <w:color w:val="0B1F33"/>
                <w:sz w:val="30"/>
              </w:rPr>
              <w:t>300 CPAs</w:t>
            </w:r>
          </w:p>
          <w:p w14:paraId="75B0B234" w14:textId="77777777" w:rsidR="00997D86" w:rsidRDefault="00EF2659">
            <w:pPr>
              <w:spacing w:after="0" w:line="247" w:lineRule="auto"/>
              <w:jc w:val="center"/>
            </w:pPr>
            <w:r>
              <w:rPr>
                <w:color w:val="5F7180"/>
                <w:sz w:val="15"/>
              </w:rPr>
              <w:t>Professional review team*</w:t>
            </w:r>
          </w:p>
        </w:tc>
        <w:tc>
          <w:tcPr>
            <w:tcW w:w="2520" w:type="dxa"/>
            <w:tcBorders>
              <w:top w:val="single" w:sz="8" w:space="0" w:color="00A7A5"/>
              <w:left w:val="single" w:sz="6" w:space="0" w:color="D8E4E9"/>
              <w:bottom w:val="single" w:sz="6" w:space="0" w:color="D8E4E9"/>
              <w:right w:val="single" w:sz="6" w:space="0" w:color="D8E4E9"/>
            </w:tcBorders>
            <w:shd w:val="clear" w:color="auto" w:fill="F2F7F9"/>
            <w:tcMar>
              <w:top w:w="140" w:type="dxa"/>
              <w:left w:w="90" w:type="dxa"/>
              <w:bottom w:w="140" w:type="dxa"/>
              <w:right w:w="90" w:type="dxa"/>
            </w:tcMar>
          </w:tcPr>
          <w:p w14:paraId="16B16BCE" w14:textId="77777777" w:rsidR="00997D86" w:rsidRDefault="00EF2659">
            <w:pPr>
              <w:spacing w:after="60" w:line="240" w:lineRule="auto"/>
              <w:jc w:val="center"/>
            </w:pPr>
            <w:r>
              <w:rPr>
                <w:b/>
                <w:color w:val="0B1F33"/>
                <w:sz w:val="30"/>
              </w:rPr>
              <w:t>~80%</w:t>
            </w:r>
          </w:p>
          <w:p w14:paraId="2F817B81" w14:textId="77777777" w:rsidR="00997D86" w:rsidRDefault="00EF2659">
            <w:pPr>
              <w:spacing w:after="0" w:line="247" w:lineRule="auto"/>
              <w:jc w:val="center"/>
            </w:pPr>
            <w:r>
              <w:rPr>
                <w:color w:val="5F7180"/>
                <w:sz w:val="15"/>
              </w:rPr>
              <w:t>Reported advance-funding adoption*</w:t>
            </w:r>
          </w:p>
        </w:tc>
      </w:tr>
    </w:tbl>
    <w:p w14:paraId="6336D5D1" w14:textId="77777777" w:rsidR="00997D86" w:rsidRDefault="00997D86">
      <w:pPr>
        <w:spacing w:after="60"/>
      </w:pPr>
    </w:p>
    <w:tbl>
      <w:tblPr>
        <w:tblW w:w="0" w:type="auto"/>
        <w:jc w:val="center"/>
        <w:tblLook w:val="04A0" w:firstRow="1" w:lastRow="0" w:firstColumn="1" w:lastColumn="0" w:noHBand="0" w:noVBand="1"/>
      </w:tblPr>
      <w:tblGrid>
        <w:gridCol w:w="10431"/>
      </w:tblGrid>
      <w:tr w:rsidR="00997D86" w14:paraId="321C2758" w14:textId="77777777">
        <w:trPr>
          <w:cantSplit/>
          <w:jc w:val="center"/>
        </w:trPr>
        <w:tc>
          <w:tcPr>
            <w:tcW w:w="10454" w:type="dxa"/>
            <w:tcBorders>
              <w:top w:val="nil"/>
              <w:left w:val="single" w:sz="18" w:space="0" w:color="D5A62E"/>
              <w:bottom w:val="nil"/>
              <w:right w:val="nil"/>
            </w:tcBorders>
            <w:shd w:val="clear" w:color="auto" w:fill="F8FBFC"/>
            <w:tcMar>
              <w:top w:w="160" w:type="dxa"/>
              <w:left w:w="180" w:type="dxa"/>
              <w:bottom w:w="150" w:type="dxa"/>
              <w:right w:w="180" w:type="dxa"/>
            </w:tcMar>
          </w:tcPr>
          <w:p w14:paraId="49B58DBD" w14:textId="77777777" w:rsidR="00997D86" w:rsidRDefault="00EF2659">
            <w:pPr>
              <w:spacing w:after="100" w:line="240" w:lineRule="auto"/>
            </w:pPr>
            <w:r>
              <w:rPr>
                <w:b/>
                <w:color w:val="0B1F33"/>
                <w:sz w:val="27"/>
              </w:rPr>
              <w:t>Executive Summary</w:t>
            </w:r>
          </w:p>
          <w:p w14:paraId="550B6B31" w14:textId="77777777" w:rsidR="00997D86" w:rsidRDefault="00EF2659">
            <w:pPr>
              <w:spacing w:after="0" w:line="264" w:lineRule="auto"/>
            </w:pPr>
            <w:r>
              <w:rPr>
                <w:sz w:val="20"/>
              </w:rPr>
              <w:t>TRA positions itself as a backend recovery partner for importers and customs brokers that need more than a basic filing solution. The platform combines case intake, calculations, professional review, complex filing support, client visibility, and access to advance-funding options in a single workflow.</w:t>
            </w:r>
          </w:p>
        </w:tc>
      </w:tr>
    </w:tbl>
    <w:p w14:paraId="7D1E2E10" w14:textId="77777777" w:rsidR="00997D86" w:rsidRDefault="00EF2659">
      <w:pPr>
        <w:spacing w:before="160" w:after="40" w:line="240" w:lineRule="auto"/>
      </w:pPr>
      <w:r>
        <w:rPr>
          <w:b/>
          <w:color w:val="087F80"/>
          <w:sz w:val="19"/>
        </w:rPr>
        <w:t xml:space="preserve">Best fit: </w:t>
      </w:r>
      <w:r>
        <w:rPr>
          <w:sz w:val="19"/>
        </w:rPr>
        <w:t>importers with material tariff exposure, customs brokers managing high client volume, and cases involving reconciliation or CIT-related escalation.</w:t>
      </w:r>
    </w:p>
    <w:p w14:paraId="09DA0684" w14:textId="77777777" w:rsidR="00997D86" w:rsidRDefault="00EF2659">
      <w:pPr>
        <w:spacing w:before="120" w:after="0" w:line="240" w:lineRule="auto"/>
      </w:pPr>
      <w:r>
        <w:rPr>
          <w:i/>
          <w:color w:val="5F7180"/>
          <w:sz w:val="15"/>
        </w:rPr>
        <w:t>* Business metrics above are presented as reported by TRA leadership in the source presentation and should be independently verified before publication or use in regulated communications.</w:t>
      </w:r>
    </w:p>
    <w:p w14:paraId="0C389C3F" w14:textId="77777777" w:rsidR="00997D86" w:rsidRDefault="00EF2659">
      <w:r>
        <w:br w:type="page"/>
      </w:r>
    </w:p>
    <w:p w14:paraId="72CEC964" w14:textId="77777777" w:rsidR="00997D86" w:rsidRDefault="00EF2659">
      <w:pPr>
        <w:spacing w:before="40" w:after="40" w:line="240" w:lineRule="auto"/>
      </w:pPr>
      <w:r>
        <w:rPr>
          <w:b/>
          <w:color w:val="00A7A5"/>
          <w:sz w:val="18"/>
        </w:rPr>
        <w:lastRenderedPageBreak/>
        <w:t>PLATFORM CAPABILITIES</w:t>
      </w:r>
    </w:p>
    <w:p w14:paraId="0210FD7D" w14:textId="77777777" w:rsidR="00997D86" w:rsidRDefault="00EF2659">
      <w:pPr>
        <w:keepNext/>
        <w:spacing w:after="80" w:line="240" w:lineRule="auto"/>
      </w:pPr>
      <w:r>
        <w:rPr>
          <w:b/>
          <w:color w:val="0B1F33"/>
          <w:sz w:val="44"/>
        </w:rPr>
        <w:t>What TRA Brings to the Table</w:t>
      </w:r>
    </w:p>
    <w:p w14:paraId="60D95723" w14:textId="77777777" w:rsidR="00997D86" w:rsidRDefault="00EF2659">
      <w:pPr>
        <w:spacing w:after="160" w:line="264" w:lineRule="auto"/>
      </w:pPr>
      <w:r>
        <w:rPr>
          <w:color w:val="5F7180"/>
        </w:rPr>
        <w:t>A single operating layer designed to reduce complexity for importers, customs brokers, and recovery partners.</w:t>
      </w:r>
    </w:p>
    <w:p w14:paraId="0CF0B270" w14:textId="77777777" w:rsidR="00997D86" w:rsidRDefault="00997D86">
      <w:pPr>
        <w:pBdr>
          <w:bottom w:val="single" w:sz="10" w:space="1" w:color="00A7A5"/>
        </w:pBdr>
        <w:spacing w:after="120" w:line="240" w:lineRule="auto"/>
      </w:pPr>
    </w:p>
    <w:tbl>
      <w:tblPr>
        <w:tblW w:w="0" w:type="auto"/>
        <w:jc w:val="center"/>
        <w:tblLayout w:type="fixed"/>
        <w:tblLook w:val="04A0" w:firstRow="1" w:lastRow="0" w:firstColumn="1" w:lastColumn="0" w:noHBand="0" w:noVBand="1"/>
      </w:tblPr>
      <w:tblGrid>
        <w:gridCol w:w="5227"/>
        <w:gridCol w:w="5227"/>
      </w:tblGrid>
      <w:tr w:rsidR="00997D86" w14:paraId="6976D226" w14:textId="77777777">
        <w:trPr>
          <w:cantSplit/>
          <w:jc w:val="center"/>
        </w:trPr>
        <w:tc>
          <w:tcPr>
            <w:tcW w:w="5227" w:type="dxa"/>
            <w:tcBorders>
              <w:top w:val="single" w:sz="6" w:space="0" w:color="D8E4E9"/>
              <w:left w:val="single" w:sz="6" w:space="0" w:color="D8E4E9"/>
              <w:bottom w:val="single" w:sz="6" w:space="0" w:color="D8E4E9"/>
              <w:right w:val="single" w:sz="6" w:space="0" w:color="D8E4E9"/>
            </w:tcBorders>
            <w:shd w:val="clear" w:color="auto" w:fill="F2F7F9"/>
            <w:tcMar>
              <w:top w:w="145" w:type="dxa"/>
              <w:left w:w="155" w:type="dxa"/>
              <w:bottom w:w="145" w:type="dxa"/>
              <w:right w:w="155" w:type="dxa"/>
            </w:tcMar>
          </w:tcPr>
          <w:p w14:paraId="08FA1934" w14:textId="77777777" w:rsidR="00997D86" w:rsidRDefault="00EF2659">
            <w:pPr>
              <w:spacing w:after="80" w:line="240" w:lineRule="auto"/>
            </w:pPr>
            <w:r>
              <w:rPr>
                <w:b/>
                <w:color w:val="D5A62E"/>
                <w:sz w:val="17"/>
              </w:rPr>
              <w:t xml:space="preserve">01  </w:t>
            </w:r>
            <w:r>
              <w:rPr>
                <w:b/>
                <w:color w:val="0B1F33"/>
                <w:sz w:val="22"/>
              </w:rPr>
              <w:t>End-to-End Platform</w:t>
            </w:r>
          </w:p>
          <w:p w14:paraId="7DA5A14D" w14:textId="77777777" w:rsidR="00997D86" w:rsidRDefault="00EF2659">
            <w:pPr>
              <w:spacing w:after="0" w:line="259" w:lineRule="auto"/>
            </w:pPr>
            <w:r>
              <w:rPr>
                <w:sz w:val="19"/>
              </w:rPr>
              <w:t>Centralized support for claim intake, calculations, documentation, processing, refund workflows, and case visibility.</w:t>
            </w:r>
          </w:p>
        </w:tc>
        <w:tc>
          <w:tcPr>
            <w:tcW w:w="5227" w:type="dxa"/>
            <w:tcBorders>
              <w:top w:val="single" w:sz="6" w:space="0" w:color="D8E4E9"/>
              <w:left w:val="single" w:sz="6" w:space="0" w:color="D8E4E9"/>
              <w:bottom w:val="single" w:sz="6" w:space="0" w:color="D8E4E9"/>
              <w:right w:val="single" w:sz="6" w:space="0" w:color="D8E4E9"/>
            </w:tcBorders>
            <w:shd w:val="clear" w:color="auto" w:fill="F2F7F9"/>
            <w:tcMar>
              <w:top w:w="145" w:type="dxa"/>
              <w:left w:w="155" w:type="dxa"/>
              <w:bottom w:w="145" w:type="dxa"/>
              <w:right w:w="155" w:type="dxa"/>
            </w:tcMar>
          </w:tcPr>
          <w:p w14:paraId="5629F6C4" w14:textId="77777777" w:rsidR="00997D86" w:rsidRDefault="00EF2659">
            <w:pPr>
              <w:spacing w:after="80" w:line="240" w:lineRule="auto"/>
            </w:pPr>
            <w:r>
              <w:rPr>
                <w:b/>
                <w:color w:val="D5A62E"/>
                <w:sz w:val="17"/>
              </w:rPr>
              <w:t xml:space="preserve">02  </w:t>
            </w:r>
            <w:r>
              <w:rPr>
                <w:b/>
                <w:color w:val="0B1F33"/>
                <w:sz w:val="22"/>
              </w:rPr>
              <w:t>Complex Filing Support</w:t>
            </w:r>
          </w:p>
          <w:p w14:paraId="22EC9758" w14:textId="77777777" w:rsidR="00997D86" w:rsidRDefault="00EF2659">
            <w:pPr>
              <w:spacing w:after="0" w:line="259" w:lineRule="auto"/>
            </w:pPr>
            <w:r>
              <w:rPr>
                <w:sz w:val="19"/>
              </w:rPr>
              <w:t>Backend assistance for matters beyond straightforward filings, including reconciliation workflows and phase-three / CIT-related escalation support.</w:t>
            </w:r>
          </w:p>
        </w:tc>
      </w:tr>
      <w:tr w:rsidR="00997D86" w14:paraId="78B0B8EF" w14:textId="77777777">
        <w:trPr>
          <w:cantSplit/>
          <w:jc w:val="center"/>
        </w:trPr>
        <w:tc>
          <w:tcPr>
            <w:tcW w:w="5227" w:type="dxa"/>
            <w:tcBorders>
              <w:top w:val="single" w:sz="6" w:space="0" w:color="D8E4E9"/>
              <w:left w:val="single" w:sz="6" w:space="0" w:color="D8E4E9"/>
              <w:bottom w:val="single" w:sz="6" w:space="0" w:color="D8E4E9"/>
              <w:right w:val="single" w:sz="6" w:space="0" w:color="D8E4E9"/>
            </w:tcBorders>
            <w:shd w:val="clear" w:color="auto" w:fill="F2F7F9"/>
            <w:tcMar>
              <w:top w:w="145" w:type="dxa"/>
              <w:left w:w="155" w:type="dxa"/>
              <w:bottom w:w="145" w:type="dxa"/>
              <w:right w:w="155" w:type="dxa"/>
            </w:tcMar>
          </w:tcPr>
          <w:p w14:paraId="0E68EB14" w14:textId="77777777" w:rsidR="00997D86" w:rsidRDefault="00EF2659">
            <w:pPr>
              <w:spacing w:after="80" w:line="240" w:lineRule="auto"/>
            </w:pPr>
            <w:r>
              <w:rPr>
                <w:b/>
                <w:color w:val="D5A62E"/>
                <w:sz w:val="17"/>
              </w:rPr>
              <w:t xml:space="preserve">03  </w:t>
            </w:r>
            <w:r>
              <w:rPr>
                <w:b/>
                <w:color w:val="0B1F33"/>
                <w:sz w:val="22"/>
              </w:rPr>
              <w:t>CPA Review</w:t>
            </w:r>
          </w:p>
          <w:p w14:paraId="6A0F07A0" w14:textId="77777777" w:rsidR="00997D86" w:rsidRDefault="00EF2659">
            <w:pPr>
              <w:spacing w:after="0" w:line="259" w:lineRule="auto"/>
            </w:pPr>
            <w:r>
              <w:rPr>
                <w:sz w:val="19"/>
              </w:rPr>
              <w:t>TRA reports a professional team of 300 CPAs performing calculations and review before matters move forward for processing.</w:t>
            </w:r>
          </w:p>
        </w:tc>
        <w:tc>
          <w:tcPr>
            <w:tcW w:w="5227" w:type="dxa"/>
            <w:tcBorders>
              <w:top w:val="single" w:sz="6" w:space="0" w:color="D8E4E9"/>
              <w:left w:val="single" w:sz="6" w:space="0" w:color="D8E4E9"/>
              <w:bottom w:val="single" w:sz="6" w:space="0" w:color="D8E4E9"/>
              <w:right w:val="single" w:sz="6" w:space="0" w:color="D8E4E9"/>
            </w:tcBorders>
            <w:shd w:val="clear" w:color="auto" w:fill="F2F7F9"/>
            <w:tcMar>
              <w:top w:w="145" w:type="dxa"/>
              <w:left w:w="155" w:type="dxa"/>
              <w:bottom w:w="145" w:type="dxa"/>
              <w:right w:w="155" w:type="dxa"/>
            </w:tcMar>
          </w:tcPr>
          <w:p w14:paraId="5DA46927" w14:textId="77777777" w:rsidR="00997D86" w:rsidRDefault="00EF2659">
            <w:pPr>
              <w:spacing w:after="80" w:line="240" w:lineRule="auto"/>
            </w:pPr>
            <w:r>
              <w:rPr>
                <w:b/>
                <w:color w:val="D5A62E"/>
                <w:sz w:val="17"/>
              </w:rPr>
              <w:t xml:space="preserve">04  </w:t>
            </w:r>
            <w:r>
              <w:rPr>
                <w:b/>
                <w:color w:val="0B1F33"/>
                <w:sz w:val="22"/>
              </w:rPr>
              <w:t>Customs Broker Portal</w:t>
            </w:r>
          </w:p>
          <w:p w14:paraId="0762E9D1" w14:textId="77777777" w:rsidR="00997D86" w:rsidRDefault="00EF2659">
            <w:pPr>
              <w:spacing w:after="0" w:line="259" w:lineRule="auto"/>
            </w:pPr>
            <w:r>
              <w:rPr>
                <w:sz w:val="19"/>
              </w:rPr>
              <w:t>A dedicated broker-facing environment intended to help customs brokers serve clients without adding a heavy day-to-day administrative burden.</w:t>
            </w:r>
          </w:p>
        </w:tc>
      </w:tr>
      <w:tr w:rsidR="00997D86" w14:paraId="2C8E0E49" w14:textId="77777777">
        <w:trPr>
          <w:cantSplit/>
          <w:jc w:val="center"/>
        </w:trPr>
        <w:tc>
          <w:tcPr>
            <w:tcW w:w="5227" w:type="dxa"/>
            <w:tcBorders>
              <w:top w:val="single" w:sz="6" w:space="0" w:color="D8E4E9"/>
              <w:left w:val="single" w:sz="6" w:space="0" w:color="D8E4E9"/>
              <w:bottom w:val="single" w:sz="6" w:space="0" w:color="D8E4E9"/>
              <w:right w:val="single" w:sz="6" w:space="0" w:color="D8E4E9"/>
            </w:tcBorders>
            <w:shd w:val="clear" w:color="auto" w:fill="F2F7F9"/>
            <w:tcMar>
              <w:top w:w="145" w:type="dxa"/>
              <w:left w:w="155" w:type="dxa"/>
              <w:bottom w:w="145" w:type="dxa"/>
              <w:right w:w="155" w:type="dxa"/>
            </w:tcMar>
          </w:tcPr>
          <w:p w14:paraId="2EB3AA01" w14:textId="77777777" w:rsidR="00997D86" w:rsidRDefault="00EF2659">
            <w:pPr>
              <w:spacing w:after="80" w:line="240" w:lineRule="auto"/>
            </w:pPr>
            <w:r>
              <w:rPr>
                <w:b/>
                <w:color w:val="D5A62E"/>
                <w:sz w:val="17"/>
              </w:rPr>
              <w:t xml:space="preserve">05  </w:t>
            </w:r>
            <w:r>
              <w:rPr>
                <w:b/>
                <w:color w:val="0B1F33"/>
                <w:sz w:val="22"/>
              </w:rPr>
              <w:t>Visibility &amp; Tracking</w:t>
            </w:r>
          </w:p>
          <w:p w14:paraId="3D8DA189" w14:textId="77777777" w:rsidR="00997D86" w:rsidRDefault="00EF2659">
            <w:pPr>
              <w:spacing w:after="0" w:line="259" w:lineRule="auto"/>
            </w:pPr>
            <w:r>
              <w:rPr>
                <w:sz w:val="19"/>
              </w:rPr>
              <w:t>Technology designed to give stakeholders clearer status visibility, document organization, and progress tracking across the recovery lifecycle.</w:t>
            </w:r>
          </w:p>
        </w:tc>
        <w:tc>
          <w:tcPr>
            <w:tcW w:w="5227" w:type="dxa"/>
            <w:tcBorders>
              <w:top w:val="single" w:sz="6" w:space="0" w:color="D8E4E9"/>
              <w:left w:val="single" w:sz="6" w:space="0" w:color="D8E4E9"/>
              <w:bottom w:val="single" w:sz="6" w:space="0" w:color="D8E4E9"/>
              <w:right w:val="single" w:sz="6" w:space="0" w:color="D8E4E9"/>
            </w:tcBorders>
            <w:shd w:val="clear" w:color="auto" w:fill="F2F7F9"/>
            <w:tcMar>
              <w:top w:w="145" w:type="dxa"/>
              <w:left w:w="155" w:type="dxa"/>
              <w:bottom w:w="145" w:type="dxa"/>
              <w:right w:w="155" w:type="dxa"/>
            </w:tcMar>
          </w:tcPr>
          <w:p w14:paraId="7D7ACEF2" w14:textId="77777777" w:rsidR="00997D86" w:rsidRDefault="00EF2659">
            <w:pPr>
              <w:spacing w:after="80" w:line="240" w:lineRule="auto"/>
            </w:pPr>
            <w:r>
              <w:rPr>
                <w:b/>
                <w:color w:val="D5A62E"/>
                <w:sz w:val="17"/>
              </w:rPr>
              <w:t xml:space="preserve">06  </w:t>
            </w:r>
            <w:r>
              <w:rPr>
                <w:b/>
                <w:color w:val="0B1F33"/>
                <w:sz w:val="22"/>
              </w:rPr>
              <w:t>Advance Funding</w:t>
            </w:r>
          </w:p>
          <w:p w14:paraId="6B62135F" w14:textId="77777777" w:rsidR="00997D86" w:rsidRDefault="00EF2659">
            <w:pPr>
              <w:spacing w:after="0" w:line="259" w:lineRule="auto"/>
            </w:pPr>
            <w:r>
              <w:rPr>
                <w:sz w:val="19"/>
              </w:rPr>
              <w:t>Optional access to advance-funding structures intended to help qualifying importers convert a future recovery into current working capital.</w:t>
            </w:r>
          </w:p>
        </w:tc>
      </w:tr>
    </w:tbl>
    <w:p w14:paraId="60C6DA36" w14:textId="77777777" w:rsidR="00997D86" w:rsidRDefault="00997D86">
      <w:pPr>
        <w:spacing w:after="40"/>
      </w:pPr>
    </w:p>
    <w:p w14:paraId="47AE45B3" w14:textId="77777777" w:rsidR="00997D86" w:rsidRDefault="00EF2659">
      <w:pPr>
        <w:spacing w:before="180" w:after="80" w:line="240" w:lineRule="auto"/>
      </w:pPr>
      <w:r>
        <w:rPr>
          <w:b/>
          <w:color w:val="0B1F33"/>
          <w:sz w:val="28"/>
        </w:rPr>
        <w:t>Built for Two Primary Audiences</w:t>
      </w:r>
    </w:p>
    <w:tbl>
      <w:tblPr>
        <w:tblW w:w="0" w:type="auto"/>
        <w:jc w:val="center"/>
        <w:tblLayout w:type="fixed"/>
        <w:tblLook w:val="04A0" w:firstRow="1" w:lastRow="0" w:firstColumn="1" w:lastColumn="0" w:noHBand="0" w:noVBand="1"/>
      </w:tblPr>
      <w:tblGrid>
        <w:gridCol w:w="5227"/>
        <w:gridCol w:w="5227"/>
      </w:tblGrid>
      <w:tr w:rsidR="00997D86" w14:paraId="72F59C1F" w14:textId="77777777">
        <w:trPr>
          <w:cantSplit/>
          <w:jc w:val="center"/>
        </w:trPr>
        <w:tc>
          <w:tcPr>
            <w:tcW w:w="5227" w:type="dxa"/>
            <w:tcBorders>
              <w:top w:val="nil"/>
              <w:left w:val="nil"/>
              <w:bottom w:val="nil"/>
              <w:right w:val="nil"/>
            </w:tcBorders>
            <w:shd w:val="clear" w:color="auto" w:fill="12324D"/>
            <w:tcMar>
              <w:top w:w="160" w:type="dxa"/>
              <w:left w:w="170" w:type="dxa"/>
              <w:bottom w:w="160" w:type="dxa"/>
              <w:right w:w="170" w:type="dxa"/>
            </w:tcMar>
          </w:tcPr>
          <w:p w14:paraId="03B4B614" w14:textId="77777777" w:rsidR="00997D86" w:rsidRDefault="00EF2659">
            <w:pPr>
              <w:spacing w:after="100" w:line="240" w:lineRule="auto"/>
            </w:pPr>
            <w:r>
              <w:rPr>
                <w:b/>
                <w:color w:val="D5A62E"/>
                <w:sz w:val="22"/>
              </w:rPr>
              <w:t>IMPORTERS</w:t>
            </w:r>
          </w:p>
          <w:p w14:paraId="46B9CCC5" w14:textId="77777777" w:rsidR="00997D86" w:rsidRDefault="00EF2659">
            <w:pPr>
              <w:pStyle w:val="ListBullet"/>
              <w:spacing w:after="60" w:line="247" w:lineRule="auto"/>
            </w:pPr>
            <w:r>
              <w:rPr>
                <w:color w:val="FFFFFF"/>
                <w:sz w:val="18"/>
              </w:rPr>
              <w:t>Recover eligible IEEPA tariff overpayments</w:t>
            </w:r>
          </w:p>
          <w:p w14:paraId="60F1818C" w14:textId="77777777" w:rsidR="00997D86" w:rsidRDefault="00EF2659">
            <w:pPr>
              <w:pStyle w:val="ListBullet"/>
              <w:spacing w:after="60" w:line="247" w:lineRule="auto"/>
            </w:pPr>
            <w:r>
              <w:rPr>
                <w:color w:val="FFFFFF"/>
                <w:sz w:val="18"/>
              </w:rPr>
              <w:t>Reduce internal administrative burden</w:t>
            </w:r>
          </w:p>
          <w:p w14:paraId="2C03CBDA" w14:textId="77777777" w:rsidR="00997D86" w:rsidRDefault="00EF2659">
            <w:pPr>
              <w:pStyle w:val="ListBullet"/>
              <w:spacing w:after="60" w:line="247" w:lineRule="auto"/>
            </w:pPr>
            <w:r>
              <w:rPr>
                <w:color w:val="FFFFFF"/>
                <w:sz w:val="18"/>
              </w:rPr>
              <w:t>Gain professional calculation and filing support</w:t>
            </w:r>
          </w:p>
          <w:p w14:paraId="28B02491" w14:textId="77777777" w:rsidR="00997D86" w:rsidRDefault="00EF2659">
            <w:pPr>
              <w:pStyle w:val="ListBullet"/>
              <w:spacing w:after="60" w:line="247" w:lineRule="auto"/>
            </w:pPr>
            <w:r>
              <w:rPr>
                <w:color w:val="FFFFFF"/>
                <w:sz w:val="18"/>
              </w:rPr>
              <w:t>Evaluate optional advance funding for liquidity</w:t>
            </w:r>
          </w:p>
        </w:tc>
        <w:tc>
          <w:tcPr>
            <w:tcW w:w="5227" w:type="dxa"/>
            <w:tcBorders>
              <w:top w:val="nil"/>
              <w:left w:val="nil"/>
              <w:bottom w:val="nil"/>
              <w:right w:val="nil"/>
            </w:tcBorders>
            <w:shd w:val="clear" w:color="auto" w:fill="087F80"/>
            <w:tcMar>
              <w:top w:w="160" w:type="dxa"/>
              <w:left w:w="170" w:type="dxa"/>
              <w:bottom w:w="160" w:type="dxa"/>
              <w:right w:w="170" w:type="dxa"/>
            </w:tcMar>
          </w:tcPr>
          <w:p w14:paraId="08779543" w14:textId="77777777" w:rsidR="00997D86" w:rsidRDefault="00EF2659">
            <w:pPr>
              <w:spacing w:after="100" w:line="240" w:lineRule="auto"/>
            </w:pPr>
            <w:r>
              <w:rPr>
                <w:b/>
                <w:color w:val="F5D77E"/>
                <w:sz w:val="22"/>
              </w:rPr>
              <w:t>CUSTOMS BROKERS</w:t>
            </w:r>
          </w:p>
          <w:p w14:paraId="6EA5E2DC" w14:textId="77777777" w:rsidR="00997D86" w:rsidRDefault="00EF2659">
            <w:pPr>
              <w:pStyle w:val="ListBullet"/>
              <w:spacing w:after="60" w:line="247" w:lineRule="auto"/>
            </w:pPr>
            <w:r>
              <w:rPr>
                <w:color w:val="FFFFFF"/>
                <w:sz w:val="18"/>
              </w:rPr>
              <w:t>Add a backend resource for complex client matters</w:t>
            </w:r>
          </w:p>
          <w:p w14:paraId="6CFD029D" w14:textId="77777777" w:rsidR="00997D86" w:rsidRDefault="00EF2659">
            <w:pPr>
              <w:pStyle w:val="ListBullet"/>
              <w:spacing w:after="60" w:line="247" w:lineRule="auto"/>
            </w:pPr>
            <w:r>
              <w:rPr>
                <w:color w:val="FFFFFF"/>
                <w:sz w:val="18"/>
              </w:rPr>
              <w:t>Support reconciliation and escalation workflows</w:t>
            </w:r>
          </w:p>
          <w:p w14:paraId="415A2211" w14:textId="77777777" w:rsidR="00997D86" w:rsidRDefault="00EF2659">
            <w:pPr>
              <w:pStyle w:val="ListBullet"/>
              <w:spacing w:after="60" w:line="247" w:lineRule="auto"/>
            </w:pPr>
            <w:r>
              <w:rPr>
                <w:color w:val="FFFFFF"/>
                <w:sz w:val="18"/>
              </w:rPr>
              <w:t>Keep client cases organized through a dedicated portal</w:t>
            </w:r>
          </w:p>
          <w:p w14:paraId="39D9C8B5" w14:textId="77777777" w:rsidR="00997D86" w:rsidRDefault="00EF2659">
            <w:pPr>
              <w:pStyle w:val="ListBullet"/>
              <w:spacing w:after="60" w:line="247" w:lineRule="auto"/>
            </w:pPr>
            <w:r>
              <w:rPr>
                <w:color w:val="FFFFFF"/>
                <w:sz w:val="18"/>
              </w:rPr>
              <w:t>Expand recovery support without building a large internal team</w:t>
            </w:r>
          </w:p>
        </w:tc>
      </w:tr>
    </w:tbl>
    <w:p w14:paraId="53733F55" w14:textId="77777777" w:rsidR="00997D86" w:rsidRDefault="00EF2659">
      <w:r>
        <w:br w:type="page"/>
      </w:r>
    </w:p>
    <w:p w14:paraId="07517347" w14:textId="77777777" w:rsidR="00997D86" w:rsidRDefault="00EF2659">
      <w:pPr>
        <w:spacing w:before="40" w:after="40" w:line="240" w:lineRule="auto"/>
      </w:pPr>
      <w:r>
        <w:rPr>
          <w:b/>
          <w:color w:val="00A7A5"/>
          <w:sz w:val="18"/>
        </w:rPr>
        <w:lastRenderedPageBreak/>
        <w:t>RECOVERY WORKFLOW</w:t>
      </w:r>
    </w:p>
    <w:p w14:paraId="5AC024A3" w14:textId="77777777" w:rsidR="00997D86" w:rsidRDefault="00EF2659">
      <w:pPr>
        <w:keepNext/>
        <w:spacing w:after="80" w:line="240" w:lineRule="auto"/>
      </w:pPr>
      <w:r>
        <w:rPr>
          <w:b/>
          <w:color w:val="0B1F33"/>
          <w:sz w:val="44"/>
        </w:rPr>
        <w:t>How the TRA Model Works</w:t>
      </w:r>
    </w:p>
    <w:p w14:paraId="184A63C0" w14:textId="77777777" w:rsidR="00997D86" w:rsidRDefault="00EF2659">
      <w:pPr>
        <w:spacing w:after="160" w:line="264" w:lineRule="auto"/>
      </w:pPr>
      <w:r>
        <w:rPr>
          <w:color w:val="5F7180"/>
        </w:rPr>
        <w:t>From opportunity identification to professional review, processing, tracking, and optional liquidity.</w:t>
      </w:r>
    </w:p>
    <w:p w14:paraId="78E16AC1" w14:textId="77777777" w:rsidR="00997D86" w:rsidRDefault="00997D86">
      <w:pPr>
        <w:pBdr>
          <w:bottom w:val="single" w:sz="10" w:space="1" w:color="00A7A5"/>
        </w:pBdr>
        <w:spacing w:after="120" w:line="240" w:lineRule="auto"/>
      </w:pPr>
    </w:p>
    <w:tbl>
      <w:tblPr>
        <w:tblW w:w="0" w:type="auto"/>
        <w:jc w:val="center"/>
        <w:tblLayout w:type="fixed"/>
        <w:tblLook w:val="04A0" w:firstRow="1" w:lastRow="0" w:firstColumn="1" w:lastColumn="0" w:noHBand="0" w:noVBand="1"/>
      </w:tblPr>
      <w:tblGrid>
        <w:gridCol w:w="5227"/>
        <w:gridCol w:w="5227"/>
      </w:tblGrid>
      <w:tr w:rsidR="00997D86" w14:paraId="233423E0" w14:textId="77777777">
        <w:trPr>
          <w:cantSplit/>
          <w:jc w:val="center"/>
        </w:trPr>
        <w:tc>
          <w:tcPr>
            <w:tcW w:w="5227" w:type="dxa"/>
            <w:tcBorders>
              <w:top w:val="nil"/>
              <w:left w:val="nil"/>
              <w:bottom w:val="nil"/>
              <w:right w:val="nil"/>
            </w:tcBorders>
            <w:shd w:val="clear" w:color="auto" w:fill="00A7A5"/>
            <w:tcMar>
              <w:top w:w="100" w:type="dxa"/>
              <w:left w:w="120" w:type="dxa"/>
              <w:bottom w:w="100" w:type="dxa"/>
              <w:right w:w="120" w:type="dxa"/>
            </w:tcMar>
            <w:vAlign w:val="center"/>
          </w:tcPr>
          <w:p w14:paraId="7AC95C2E" w14:textId="77777777" w:rsidR="00997D86" w:rsidRDefault="00EF2659">
            <w:pPr>
              <w:spacing w:after="0" w:line="240" w:lineRule="auto"/>
              <w:jc w:val="center"/>
            </w:pPr>
            <w:r>
              <w:rPr>
                <w:b/>
                <w:color w:val="FFFFFF"/>
                <w:sz w:val="32"/>
              </w:rPr>
              <w:t>1</w:t>
            </w:r>
          </w:p>
        </w:tc>
        <w:tc>
          <w:tcPr>
            <w:tcW w:w="5227" w:type="dxa"/>
            <w:tcBorders>
              <w:top w:val="nil"/>
              <w:left w:val="nil"/>
              <w:bottom w:val="nil"/>
              <w:right w:val="nil"/>
            </w:tcBorders>
            <w:shd w:val="clear" w:color="auto" w:fill="F2F7F9"/>
            <w:tcMar>
              <w:top w:w="100" w:type="dxa"/>
              <w:left w:w="120" w:type="dxa"/>
              <w:bottom w:w="100" w:type="dxa"/>
              <w:right w:w="120" w:type="dxa"/>
            </w:tcMar>
          </w:tcPr>
          <w:p w14:paraId="19E24A79" w14:textId="77777777" w:rsidR="00997D86" w:rsidRDefault="00EF2659">
            <w:pPr>
              <w:spacing w:after="40" w:line="240" w:lineRule="auto"/>
            </w:pPr>
            <w:r>
              <w:rPr>
                <w:b/>
                <w:color w:val="0B1F33"/>
                <w:sz w:val="22"/>
              </w:rPr>
              <w:t>Identify &amp; Qualify</w:t>
            </w:r>
          </w:p>
          <w:p w14:paraId="194FBDE1" w14:textId="77777777" w:rsidR="00997D86" w:rsidRDefault="00EF2659">
            <w:pPr>
              <w:spacing w:after="0" w:line="254" w:lineRule="auto"/>
            </w:pPr>
            <w:r>
              <w:rPr>
                <w:sz w:val="19"/>
              </w:rPr>
              <w:t>Review importer exposure, relevant entries, claim status, prior filing activity, and the complexity of the recovery opportunity.</w:t>
            </w:r>
          </w:p>
        </w:tc>
      </w:tr>
    </w:tbl>
    <w:p w14:paraId="225118A0" w14:textId="77777777" w:rsidR="00997D86" w:rsidRDefault="00997D86">
      <w:pPr>
        <w:spacing w:after="20"/>
      </w:pPr>
    </w:p>
    <w:tbl>
      <w:tblPr>
        <w:tblW w:w="0" w:type="auto"/>
        <w:jc w:val="center"/>
        <w:tblLayout w:type="fixed"/>
        <w:tblLook w:val="04A0" w:firstRow="1" w:lastRow="0" w:firstColumn="1" w:lastColumn="0" w:noHBand="0" w:noVBand="1"/>
      </w:tblPr>
      <w:tblGrid>
        <w:gridCol w:w="5227"/>
        <w:gridCol w:w="5227"/>
      </w:tblGrid>
      <w:tr w:rsidR="00997D86" w14:paraId="0349AF5F" w14:textId="77777777">
        <w:trPr>
          <w:cantSplit/>
          <w:jc w:val="center"/>
        </w:trPr>
        <w:tc>
          <w:tcPr>
            <w:tcW w:w="5227" w:type="dxa"/>
            <w:tcBorders>
              <w:top w:val="nil"/>
              <w:left w:val="nil"/>
              <w:bottom w:val="nil"/>
              <w:right w:val="nil"/>
            </w:tcBorders>
            <w:shd w:val="clear" w:color="auto" w:fill="00A7A5"/>
            <w:tcMar>
              <w:top w:w="100" w:type="dxa"/>
              <w:left w:w="120" w:type="dxa"/>
              <w:bottom w:w="100" w:type="dxa"/>
              <w:right w:w="120" w:type="dxa"/>
            </w:tcMar>
            <w:vAlign w:val="center"/>
          </w:tcPr>
          <w:p w14:paraId="1C2A7A35" w14:textId="77777777" w:rsidR="00997D86" w:rsidRDefault="00EF2659">
            <w:pPr>
              <w:spacing w:after="0" w:line="240" w:lineRule="auto"/>
              <w:jc w:val="center"/>
            </w:pPr>
            <w:r>
              <w:rPr>
                <w:b/>
                <w:color w:val="FFFFFF"/>
                <w:sz w:val="32"/>
              </w:rPr>
              <w:t>2</w:t>
            </w:r>
          </w:p>
        </w:tc>
        <w:tc>
          <w:tcPr>
            <w:tcW w:w="5227" w:type="dxa"/>
            <w:tcBorders>
              <w:top w:val="nil"/>
              <w:left w:val="nil"/>
              <w:bottom w:val="nil"/>
              <w:right w:val="nil"/>
            </w:tcBorders>
            <w:shd w:val="clear" w:color="auto" w:fill="F2F7F9"/>
            <w:tcMar>
              <w:top w:w="100" w:type="dxa"/>
              <w:left w:w="120" w:type="dxa"/>
              <w:bottom w:w="100" w:type="dxa"/>
              <w:right w:w="120" w:type="dxa"/>
            </w:tcMar>
          </w:tcPr>
          <w:p w14:paraId="249F130E" w14:textId="77777777" w:rsidR="00997D86" w:rsidRDefault="00EF2659">
            <w:pPr>
              <w:spacing w:after="40" w:line="240" w:lineRule="auto"/>
            </w:pPr>
            <w:r>
              <w:rPr>
                <w:b/>
                <w:color w:val="0B1F33"/>
                <w:sz w:val="22"/>
              </w:rPr>
              <w:t>Calculate &amp; Document</w:t>
            </w:r>
          </w:p>
          <w:p w14:paraId="05AAC4B9" w14:textId="77777777" w:rsidR="00997D86" w:rsidRDefault="00EF2659">
            <w:pPr>
              <w:spacing w:after="0" w:line="254" w:lineRule="auto"/>
            </w:pPr>
            <w:r>
              <w:rPr>
                <w:sz w:val="19"/>
              </w:rPr>
              <w:t>Assemble supporting information and perform the financial calculations and documentation needed for the recovery process.</w:t>
            </w:r>
          </w:p>
        </w:tc>
      </w:tr>
    </w:tbl>
    <w:p w14:paraId="3CD991E6" w14:textId="77777777" w:rsidR="00997D86" w:rsidRDefault="00997D86">
      <w:pPr>
        <w:spacing w:after="20"/>
      </w:pPr>
    </w:p>
    <w:tbl>
      <w:tblPr>
        <w:tblW w:w="0" w:type="auto"/>
        <w:jc w:val="center"/>
        <w:tblLayout w:type="fixed"/>
        <w:tblLook w:val="04A0" w:firstRow="1" w:lastRow="0" w:firstColumn="1" w:lastColumn="0" w:noHBand="0" w:noVBand="1"/>
      </w:tblPr>
      <w:tblGrid>
        <w:gridCol w:w="5227"/>
        <w:gridCol w:w="5227"/>
      </w:tblGrid>
      <w:tr w:rsidR="00997D86" w14:paraId="4D34881D" w14:textId="77777777">
        <w:trPr>
          <w:cantSplit/>
          <w:jc w:val="center"/>
        </w:trPr>
        <w:tc>
          <w:tcPr>
            <w:tcW w:w="5227" w:type="dxa"/>
            <w:tcBorders>
              <w:top w:val="nil"/>
              <w:left w:val="nil"/>
              <w:bottom w:val="nil"/>
              <w:right w:val="nil"/>
            </w:tcBorders>
            <w:shd w:val="clear" w:color="auto" w:fill="00A7A5"/>
            <w:tcMar>
              <w:top w:w="100" w:type="dxa"/>
              <w:left w:w="120" w:type="dxa"/>
              <w:bottom w:w="100" w:type="dxa"/>
              <w:right w:w="120" w:type="dxa"/>
            </w:tcMar>
            <w:vAlign w:val="center"/>
          </w:tcPr>
          <w:p w14:paraId="01BEFBDA" w14:textId="77777777" w:rsidR="00997D86" w:rsidRDefault="00EF2659">
            <w:pPr>
              <w:spacing w:after="0" w:line="240" w:lineRule="auto"/>
              <w:jc w:val="center"/>
            </w:pPr>
            <w:r>
              <w:rPr>
                <w:b/>
                <w:color w:val="FFFFFF"/>
                <w:sz w:val="32"/>
              </w:rPr>
              <w:t>3</w:t>
            </w:r>
          </w:p>
        </w:tc>
        <w:tc>
          <w:tcPr>
            <w:tcW w:w="5227" w:type="dxa"/>
            <w:tcBorders>
              <w:top w:val="nil"/>
              <w:left w:val="nil"/>
              <w:bottom w:val="nil"/>
              <w:right w:val="nil"/>
            </w:tcBorders>
            <w:shd w:val="clear" w:color="auto" w:fill="F2F7F9"/>
            <w:tcMar>
              <w:top w:w="100" w:type="dxa"/>
              <w:left w:w="120" w:type="dxa"/>
              <w:bottom w:w="100" w:type="dxa"/>
              <w:right w:w="120" w:type="dxa"/>
            </w:tcMar>
          </w:tcPr>
          <w:p w14:paraId="16D095C4" w14:textId="77777777" w:rsidR="00997D86" w:rsidRDefault="00EF2659">
            <w:pPr>
              <w:spacing w:after="40" w:line="240" w:lineRule="auto"/>
            </w:pPr>
            <w:r>
              <w:rPr>
                <w:b/>
                <w:color w:val="0B1F33"/>
                <w:sz w:val="22"/>
              </w:rPr>
              <w:t>Professional Review &amp; Processing</w:t>
            </w:r>
          </w:p>
          <w:p w14:paraId="5B0E4331" w14:textId="77777777" w:rsidR="00997D86" w:rsidRDefault="00EF2659">
            <w:pPr>
              <w:spacing w:after="0" w:line="254" w:lineRule="auto"/>
            </w:pPr>
            <w:r>
              <w:rPr>
                <w:sz w:val="19"/>
              </w:rPr>
              <w:t>TRA reports that CPA professionals review calculations and sign off before processing; complex matters may include reconciliation or CIT-related legal escalation support.</w:t>
            </w:r>
          </w:p>
        </w:tc>
      </w:tr>
    </w:tbl>
    <w:p w14:paraId="7356AE27" w14:textId="77777777" w:rsidR="00997D86" w:rsidRDefault="00997D86">
      <w:pPr>
        <w:spacing w:after="20"/>
      </w:pPr>
    </w:p>
    <w:tbl>
      <w:tblPr>
        <w:tblW w:w="0" w:type="auto"/>
        <w:jc w:val="center"/>
        <w:tblLayout w:type="fixed"/>
        <w:tblLook w:val="04A0" w:firstRow="1" w:lastRow="0" w:firstColumn="1" w:lastColumn="0" w:noHBand="0" w:noVBand="1"/>
      </w:tblPr>
      <w:tblGrid>
        <w:gridCol w:w="5227"/>
        <w:gridCol w:w="5227"/>
      </w:tblGrid>
      <w:tr w:rsidR="00997D86" w14:paraId="508FE445" w14:textId="77777777">
        <w:trPr>
          <w:cantSplit/>
          <w:jc w:val="center"/>
        </w:trPr>
        <w:tc>
          <w:tcPr>
            <w:tcW w:w="5227" w:type="dxa"/>
            <w:tcBorders>
              <w:top w:val="nil"/>
              <w:left w:val="nil"/>
              <w:bottom w:val="nil"/>
              <w:right w:val="nil"/>
            </w:tcBorders>
            <w:shd w:val="clear" w:color="auto" w:fill="00A7A5"/>
            <w:tcMar>
              <w:top w:w="100" w:type="dxa"/>
              <w:left w:w="120" w:type="dxa"/>
              <w:bottom w:w="100" w:type="dxa"/>
              <w:right w:w="120" w:type="dxa"/>
            </w:tcMar>
            <w:vAlign w:val="center"/>
          </w:tcPr>
          <w:p w14:paraId="5F640467" w14:textId="77777777" w:rsidR="00997D86" w:rsidRDefault="00EF2659">
            <w:pPr>
              <w:spacing w:after="0" w:line="240" w:lineRule="auto"/>
              <w:jc w:val="center"/>
            </w:pPr>
            <w:r>
              <w:rPr>
                <w:b/>
                <w:color w:val="FFFFFF"/>
                <w:sz w:val="32"/>
              </w:rPr>
              <w:t>4</w:t>
            </w:r>
          </w:p>
        </w:tc>
        <w:tc>
          <w:tcPr>
            <w:tcW w:w="5227" w:type="dxa"/>
            <w:tcBorders>
              <w:top w:val="nil"/>
              <w:left w:val="nil"/>
              <w:bottom w:val="nil"/>
              <w:right w:val="nil"/>
            </w:tcBorders>
            <w:shd w:val="clear" w:color="auto" w:fill="F2F7F9"/>
            <w:tcMar>
              <w:top w:w="100" w:type="dxa"/>
              <w:left w:w="120" w:type="dxa"/>
              <w:bottom w:w="100" w:type="dxa"/>
              <w:right w:w="120" w:type="dxa"/>
            </w:tcMar>
          </w:tcPr>
          <w:p w14:paraId="1B09D589" w14:textId="77777777" w:rsidR="00997D86" w:rsidRDefault="00EF2659">
            <w:pPr>
              <w:spacing w:after="40" w:line="240" w:lineRule="auto"/>
            </w:pPr>
            <w:r>
              <w:rPr>
                <w:b/>
                <w:color w:val="0B1F33"/>
                <w:sz w:val="22"/>
              </w:rPr>
              <w:t>Track, Recover &amp; Fund</w:t>
            </w:r>
          </w:p>
          <w:p w14:paraId="6351B4BF" w14:textId="77777777" w:rsidR="00997D86" w:rsidRDefault="00EF2659">
            <w:pPr>
              <w:spacing w:after="0" w:line="254" w:lineRule="auto"/>
            </w:pPr>
            <w:r>
              <w:rPr>
                <w:sz w:val="19"/>
              </w:rPr>
              <w:t>Monitor progress through the platform. Qualifying clients may also evaluate advance-funding options rather than waiting for the full recovery cycle to complete.</w:t>
            </w:r>
          </w:p>
        </w:tc>
      </w:tr>
    </w:tbl>
    <w:p w14:paraId="3B34FF96" w14:textId="77777777" w:rsidR="00997D86" w:rsidRDefault="00997D86">
      <w:pPr>
        <w:spacing w:after="20"/>
      </w:pPr>
    </w:p>
    <w:p w14:paraId="7B3DF322" w14:textId="77777777" w:rsidR="00997D86" w:rsidRDefault="00EF2659">
      <w:pPr>
        <w:spacing w:before="140" w:after="60" w:line="240" w:lineRule="auto"/>
      </w:pPr>
      <w:r>
        <w:rPr>
          <w:b/>
          <w:color w:val="0B1F33"/>
          <w:sz w:val="28"/>
        </w:rPr>
        <w:t>Advance Funding: Turning a Future Recovery into Current Liquidity</w:t>
      </w:r>
    </w:p>
    <w:tbl>
      <w:tblPr>
        <w:tblW w:w="0" w:type="auto"/>
        <w:jc w:val="center"/>
        <w:tblLayout w:type="fixed"/>
        <w:tblLook w:val="04A0" w:firstRow="1" w:lastRow="0" w:firstColumn="1" w:lastColumn="0" w:noHBand="0" w:noVBand="1"/>
      </w:tblPr>
      <w:tblGrid>
        <w:gridCol w:w="5227"/>
        <w:gridCol w:w="5227"/>
      </w:tblGrid>
      <w:tr w:rsidR="00997D86" w14:paraId="2F58F340" w14:textId="77777777">
        <w:trPr>
          <w:cantSplit/>
          <w:jc w:val="center"/>
        </w:trPr>
        <w:tc>
          <w:tcPr>
            <w:tcW w:w="5227" w:type="dxa"/>
            <w:tcBorders>
              <w:top w:val="nil"/>
              <w:left w:val="nil"/>
              <w:bottom w:val="nil"/>
              <w:right w:val="nil"/>
            </w:tcBorders>
            <w:shd w:val="clear" w:color="auto" w:fill="D5A62E"/>
            <w:tcMar>
              <w:top w:w="170" w:type="dxa"/>
              <w:left w:w="170" w:type="dxa"/>
              <w:bottom w:w="170" w:type="dxa"/>
              <w:right w:w="170" w:type="dxa"/>
            </w:tcMar>
          </w:tcPr>
          <w:p w14:paraId="12A550CC" w14:textId="77777777" w:rsidR="00997D86" w:rsidRDefault="00EF2659">
            <w:pPr>
              <w:spacing w:after="40" w:line="240" w:lineRule="auto"/>
            </w:pPr>
            <w:r>
              <w:rPr>
                <w:b/>
                <w:color w:val="0B1F33"/>
                <w:sz w:val="50"/>
              </w:rPr>
              <w:t>~80%</w:t>
            </w:r>
          </w:p>
          <w:p w14:paraId="6B1955E2" w14:textId="77777777" w:rsidR="00997D86" w:rsidRDefault="00EF2659">
            <w:pPr>
              <w:spacing w:after="0" w:line="252" w:lineRule="auto"/>
            </w:pPr>
            <w:r>
              <w:rPr>
                <w:b/>
                <w:color w:val="0B1F33"/>
                <w:sz w:val="18"/>
              </w:rPr>
              <w:t>of importer clients reportedly elect an advance-funding option*</w:t>
            </w:r>
          </w:p>
        </w:tc>
        <w:tc>
          <w:tcPr>
            <w:tcW w:w="5227" w:type="dxa"/>
            <w:tcBorders>
              <w:top w:val="nil"/>
              <w:left w:val="nil"/>
              <w:bottom w:val="nil"/>
              <w:right w:val="nil"/>
            </w:tcBorders>
            <w:shd w:val="clear" w:color="auto" w:fill="F2F7F9"/>
            <w:tcMar>
              <w:top w:w="170" w:type="dxa"/>
              <w:left w:w="170" w:type="dxa"/>
              <w:bottom w:w="170" w:type="dxa"/>
              <w:right w:w="170" w:type="dxa"/>
            </w:tcMar>
          </w:tcPr>
          <w:p w14:paraId="4600ACA6" w14:textId="77777777" w:rsidR="00997D86" w:rsidRDefault="00EF2659">
            <w:pPr>
              <w:spacing w:after="80" w:line="240" w:lineRule="auto"/>
            </w:pPr>
            <w:r>
              <w:rPr>
                <w:b/>
                <w:color w:val="0B1F33"/>
                <w:sz w:val="22"/>
              </w:rPr>
              <w:t>Why businesses use it</w:t>
            </w:r>
          </w:p>
          <w:p w14:paraId="22EC255D" w14:textId="77777777" w:rsidR="00997D86" w:rsidRDefault="00EF2659">
            <w:pPr>
              <w:pStyle w:val="ListBullet"/>
              <w:spacing w:after="40" w:line="245" w:lineRule="auto"/>
            </w:pPr>
            <w:r>
              <w:rPr>
                <w:sz w:val="18"/>
              </w:rPr>
              <w:t>Working capital</w:t>
            </w:r>
          </w:p>
          <w:p w14:paraId="58621815" w14:textId="77777777" w:rsidR="00997D86" w:rsidRDefault="00EF2659">
            <w:pPr>
              <w:pStyle w:val="ListBullet"/>
              <w:spacing w:after="40" w:line="245" w:lineRule="auto"/>
            </w:pPr>
            <w:r>
              <w:rPr>
                <w:sz w:val="18"/>
              </w:rPr>
              <w:t>Payroll and operating needs</w:t>
            </w:r>
          </w:p>
          <w:p w14:paraId="4642B96A" w14:textId="77777777" w:rsidR="00997D86" w:rsidRDefault="00EF2659">
            <w:pPr>
              <w:pStyle w:val="ListBullet"/>
              <w:spacing w:after="40" w:line="245" w:lineRule="auto"/>
            </w:pPr>
            <w:r>
              <w:rPr>
                <w:sz w:val="18"/>
              </w:rPr>
              <w:t>Faster access to liquidity</w:t>
            </w:r>
          </w:p>
          <w:p w14:paraId="08D004E8" w14:textId="77777777" w:rsidR="00997D86" w:rsidRDefault="00EF2659">
            <w:pPr>
              <w:pStyle w:val="ListBullet"/>
              <w:spacing w:after="40" w:line="245" w:lineRule="auto"/>
            </w:pPr>
            <w:r>
              <w:rPr>
                <w:sz w:val="18"/>
              </w:rPr>
              <w:t>Reduced dependence on the timing of the recovery process</w:t>
            </w:r>
          </w:p>
        </w:tc>
      </w:tr>
    </w:tbl>
    <w:p w14:paraId="0278B638" w14:textId="77777777" w:rsidR="00997D86" w:rsidRDefault="00EF2659">
      <w:pPr>
        <w:spacing w:before="80" w:after="40" w:line="240" w:lineRule="auto"/>
      </w:pPr>
      <w:r>
        <w:rPr>
          <w:b/>
          <w:color w:val="0B1F33"/>
          <w:sz w:val="28"/>
        </w:rPr>
        <w:t>Mike's Key Positioning Points</w:t>
      </w:r>
    </w:p>
    <w:tbl>
      <w:tblPr>
        <w:tblW w:w="0" w:type="auto"/>
        <w:jc w:val="center"/>
        <w:tblLayout w:type="fixed"/>
        <w:tblLook w:val="04A0" w:firstRow="1" w:lastRow="0" w:firstColumn="1" w:lastColumn="0" w:noHBand="0" w:noVBand="1"/>
      </w:tblPr>
      <w:tblGrid>
        <w:gridCol w:w="3485"/>
        <w:gridCol w:w="3485"/>
        <w:gridCol w:w="3485"/>
      </w:tblGrid>
      <w:tr w:rsidR="00997D86" w14:paraId="316DEB12" w14:textId="77777777">
        <w:trPr>
          <w:cantSplit/>
          <w:jc w:val="center"/>
        </w:trPr>
        <w:tc>
          <w:tcPr>
            <w:tcW w:w="3485" w:type="dxa"/>
            <w:tcBorders>
              <w:top w:val="single" w:sz="5" w:space="0" w:color="D8E4E9"/>
              <w:left w:val="single" w:sz="5" w:space="0" w:color="D8E4E9"/>
              <w:bottom w:val="single" w:sz="5" w:space="0" w:color="D8E4E9"/>
              <w:right w:val="single" w:sz="5" w:space="0" w:color="D8E4E9"/>
            </w:tcBorders>
            <w:shd w:val="clear" w:color="auto" w:fill="F8FBFC"/>
            <w:tcMar>
              <w:top w:w="95" w:type="dxa"/>
              <w:left w:w="110" w:type="dxa"/>
              <w:bottom w:w="95" w:type="dxa"/>
              <w:right w:w="110" w:type="dxa"/>
            </w:tcMar>
          </w:tcPr>
          <w:p w14:paraId="6BF33F42" w14:textId="77777777" w:rsidR="00997D86" w:rsidRDefault="00EF2659">
            <w:pPr>
              <w:spacing w:after="40" w:line="240" w:lineRule="auto"/>
            </w:pPr>
            <w:r>
              <w:rPr>
                <w:b/>
                <w:color w:val="087F80"/>
                <w:sz w:val="16"/>
              </w:rPr>
              <w:t>GLOBAL EXPERIENCE</w:t>
            </w:r>
          </w:p>
          <w:p w14:paraId="6DCEBAAA" w14:textId="77777777" w:rsidR="00997D86" w:rsidRDefault="00EF2659">
            <w:pPr>
              <w:spacing w:after="0" w:line="247" w:lineRule="auto"/>
            </w:pPr>
            <w:r>
              <w:rPr>
                <w:sz w:val="17"/>
              </w:rPr>
              <w:t>Government recovery programs for 7+ years*</w:t>
            </w:r>
          </w:p>
        </w:tc>
        <w:tc>
          <w:tcPr>
            <w:tcW w:w="3485" w:type="dxa"/>
            <w:tcBorders>
              <w:top w:val="single" w:sz="5" w:space="0" w:color="D8E4E9"/>
              <w:left w:val="single" w:sz="5" w:space="0" w:color="D8E4E9"/>
              <w:bottom w:val="single" w:sz="5" w:space="0" w:color="D8E4E9"/>
              <w:right w:val="single" w:sz="5" w:space="0" w:color="D8E4E9"/>
            </w:tcBorders>
            <w:shd w:val="clear" w:color="auto" w:fill="F8FBFC"/>
            <w:tcMar>
              <w:top w:w="95" w:type="dxa"/>
              <w:left w:w="110" w:type="dxa"/>
              <w:bottom w:w="95" w:type="dxa"/>
              <w:right w:w="110" w:type="dxa"/>
            </w:tcMar>
          </w:tcPr>
          <w:p w14:paraId="2EDC0E0F" w14:textId="77777777" w:rsidR="00997D86" w:rsidRDefault="00EF2659">
            <w:pPr>
              <w:spacing w:after="40" w:line="240" w:lineRule="auto"/>
            </w:pPr>
            <w:r>
              <w:rPr>
                <w:b/>
                <w:color w:val="087F80"/>
                <w:sz w:val="16"/>
              </w:rPr>
              <w:t>IN-HOUSE SUPPORT</w:t>
            </w:r>
          </w:p>
          <w:p w14:paraId="4B142A7E" w14:textId="77777777" w:rsidR="00997D86" w:rsidRDefault="00EF2659">
            <w:pPr>
              <w:spacing w:after="0" w:line="247" w:lineRule="auto"/>
            </w:pPr>
            <w:r>
              <w:rPr>
                <w:sz w:val="17"/>
              </w:rPr>
              <w:t>Legal and professional resources*</w:t>
            </w:r>
          </w:p>
        </w:tc>
        <w:tc>
          <w:tcPr>
            <w:tcW w:w="3485" w:type="dxa"/>
            <w:tcBorders>
              <w:top w:val="single" w:sz="5" w:space="0" w:color="D8E4E9"/>
              <w:left w:val="single" w:sz="5" w:space="0" w:color="D8E4E9"/>
              <w:bottom w:val="single" w:sz="5" w:space="0" w:color="D8E4E9"/>
              <w:right w:val="single" w:sz="5" w:space="0" w:color="D8E4E9"/>
            </w:tcBorders>
            <w:shd w:val="clear" w:color="auto" w:fill="F8FBFC"/>
            <w:tcMar>
              <w:top w:w="95" w:type="dxa"/>
              <w:left w:w="110" w:type="dxa"/>
              <w:bottom w:w="95" w:type="dxa"/>
              <w:right w:w="110" w:type="dxa"/>
            </w:tcMar>
          </w:tcPr>
          <w:p w14:paraId="5FAF03D4" w14:textId="77777777" w:rsidR="00997D86" w:rsidRDefault="00EF2659">
            <w:pPr>
              <w:spacing w:after="40" w:line="240" w:lineRule="auto"/>
            </w:pPr>
            <w:r>
              <w:rPr>
                <w:b/>
                <w:color w:val="087F80"/>
                <w:sz w:val="16"/>
              </w:rPr>
              <w:t>FUNDING</w:t>
            </w:r>
          </w:p>
          <w:p w14:paraId="5832D6F9" w14:textId="77777777" w:rsidR="00997D86" w:rsidRDefault="00EF2659">
            <w:pPr>
              <w:spacing w:after="0" w:line="247" w:lineRule="auto"/>
            </w:pPr>
            <w:r>
              <w:rPr>
                <w:sz w:val="17"/>
              </w:rPr>
              <w:t>Advance-funding opportunities</w:t>
            </w:r>
          </w:p>
        </w:tc>
      </w:tr>
      <w:tr w:rsidR="00997D86" w14:paraId="7DEA8DBD" w14:textId="77777777">
        <w:trPr>
          <w:cantSplit/>
          <w:jc w:val="center"/>
        </w:trPr>
        <w:tc>
          <w:tcPr>
            <w:tcW w:w="3485" w:type="dxa"/>
            <w:tcBorders>
              <w:top w:val="single" w:sz="5" w:space="0" w:color="D8E4E9"/>
              <w:left w:val="single" w:sz="5" w:space="0" w:color="D8E4E9"/>
              <w:bottom w:val="single" w:sz="5" w:space="0" w:color="D8E4E9"/>
              <w:right w:val="single" w:sz="5" w:space="0" w:color="D8E4E9"/>
            </w:tcBorders>
            <w:shd w:val="clear" w:color="auto" w:fill="F8FBFC"/>
            <w:tcMar>
              <w:top w:w="95" w:type="dxa"/>
              <w:left w:w="110" w:type="dxa"/>
              <w:bottom w:w="95" w:type="dxa"/>
              <w:right w:w="110" w:type="dxa"/>
            </w:tcMar>
          </w:tcPr>
          <w:p w14:paraId="60DFD87F" w14:textId="77777777" w:rsidR="00997D86" w:rsidRDefault="00EF2659">
            <w:pPr>
              <w:spacing w:after="40" w:line="240" w:lineRule="auto"/>
            </w:pPr>
            <w:r>
              <w:rPr>
                <w:b/>
                <w:color w:val="087F80"/>
                <w:sz w:val="16"/>
              </w:rPr>
              <w:t>TECHNOLOGY</w:t>
            </w:r>
          </w:p>
          <w:p w14:paraId="06815A81" w14:textId="77777777" w:rsidR="00997D86" w:rsidRDefault="00EF2659">
            <w:pPr>
              <w:spacing w:after="0" w:line="247" w:lineRule="auto"/>
            </w:pPr>
            <w:r>
              <w:rPr>
                <w:sz w:val="17"/>
              </w:rPr>
              <w:t>World-class technology suite</w:t>
            </w:r>
          </w:p>
        </w:tc>
        <w:tc>
          <w:tcPr>
            <w:tcW w:w="3485" w:type="dxa"/>
            <w:tcBorders>
              <w:top w:val="single" w:sz="5" w:space="0" w:color="D8E4E9"/>
              <w:left w:val="single" w:sz="5" w:space="0" w:color="D8E4E9"/>
              <w:bottom w:val="single" w:sz="5" w:space="0" w:color="D8E4E9"/>
              <w:right w:val="single" w:sz="5" w:space="0" w:color="D8E4E9"/>
            </w:tcBorders>
            <w:shd w:val="clear" w:color="auto" w:fill="F8FBFC"/>
            <w:tcMar>
              <w:top w:w="95" w:type="dxa"/>
              <w:left w:w="110" w:type="dxa"/>
              <w:bottom w:w="95" w:type="dxa"/>
              <w:right w:w="110" w:type="dxa"/>
            </w:tcMar>
          </w:tcPr>
          <w:p w14:paraId="2B79BC97" w14:textId="77777777" w:rsidR="00997D86" w:rsidRDefault="00EF2659">
            <w:pPr>
              <w:spacing w:after="40" w:line="240" w:lineRule="auto"/>
            </w:pPr>
            <w:r>
              <w:rPr>
                <w:b/>
                <w:color w:val="087F80"/>
                <w:sz w:val="16"/>
              </w:rPr>
              <w:t>VISIBILITY</w:t>
            </w:r>
          </w:p>
          <w:p w14:paraId="7844A965" w14:textId="77777777" w:rsidR="00997D86" w:rsidRDefault="00EF2659">
            <w:pPr>
              <w:spacing w:after="0" w:line="247" w:lineRule="auto"/>
            </w:pPr>
            <w:r>
              <w:rPr>
                <w:sz w:val="17"/>
              </w:rPr>
              <w:t>Case tracking and status transparency</w:t>
            </w:r>
          </w:p>
        </w:tc>
        <w:tc>
          <w:tcPr>
            <w:tcW w:w="3485" w:type="dxa"/>
            <w:tcBorders>
              <w:top w:val="single" w:sz="5" w:space="0" w:color="D8E4E9"/>
              <w:left w:val="single" w:sz="5" w:space="0" w:color="D8E4E9"/>
              <w:bottom w:val="single" w:sz="5" w:space="0" w:color="D8E4E9"/>
              <w:right w:val="single" w:sz="5" w:space="0" w:color="D8E4E9"/>
            </w:tcBorders>
            <w:shd w:val="clear" w:color="auto" w:fill="F8FBFC"/>
            <w:tcMar>
              <w:top w:w="95" w:type="dxa"/>
              <w:left w:w="110" w:type="dxa"/>
              <w:bottom w:w="95" w:type="dxa"/>
              <w:right w:w="110" w:type="dxa"/>
            </w:tcMar>
          </w:tcPr>
          <w:p w14:paraId="7D237EE6" w14:textId="77777777" w:rsidR="00997D86" w:rsidRDefault="00EF2659">
            <w:pPr>
              <w:spacing w:after="40" w:line="240" w:lineRule="auto"/>
            </w:pPr>
            <w:r>
              <w:rPr>
                <w:b/>
                <w:color w:val="087F80"/>
                <w:sz w:val="16"/>
              </w:rPr>
              <w:t>COST STRUCTURE</w:t>
            </w:r>
          </w:p>
          <w:p w14:paraId="55C83D75" w14:textId="77777777" w:rsidR="00997D86" w:rsidRDefault="00EF2659">
            <w:pPr>
              <w:spacing w:after="0" w:line="247" w:lineRule="auto"/>
            </w:pPr>
            <w:r>
              <w:rPr>
                <w:sz w:val="17"/>
              </w:rPr>
              <w:t>No upfront out-of-pocket cost*</w:t>
            </w:r>
          </w:p>
        </w:tc>
      </w:tr>
    </w:tbl>
    <w:p w14:paraId="2A4C7C81" w14:textId="77777777" w:rsidR="00997D86" w:rsidRDefault="00EF2659">
      <w:r>
        <w:br w:type="page"/>
      </w:r>
    </w:p>
    <w:p w14:paraId="5351299E" w14:textId="77777777" w:rsidR="00997D86" w:rsidRDefault="00EF2659">
      <w:pPr>
        <w:spacing w:before="40" w:after="40" w:line="240" w:lineRule="auto"/>
      </w:pPr>
      <w:r>
        <w:rPr>
          <w:b/>
          <w:color w:val="00A7A5"/>
          <w:sz w:val="18"/>
        </w:rPr>
        <w:lastRenderedPageBreak/>
        <w:t>OPTIONAL PRESENTATION ASSET</w:t>
      </w:r>
    </w:p>
    <w:p w14:paraId="6BB67A8C" w14:textId="77777777" w:rsidR="00997D86" w:rsidRDefault="00EF2659">
      <w:pPr>
        <w:keepNext/>
        <w:spacing w:after="80" w:line="240" w:lineRule="auto"/>
      </w:pPr>
      <w:r>
        <w:rPr>
          <w:b/>
          <w:color w:val="0B1F33"/>
          <w:sz w:val="44"/>
        </w:rPr>
        <w:t>90-Second Audio / Podcast Overview</w:t>
      </w:r>
    </w:p>
    <w:p w14:paraId="52883921" w14:textId="77777777" w:rsidR="00997D86" w:rsidRDefault="00EF2659">
      <w:pPr>
        <w:spacing w:after="160" w:line="264" w:lineRule="auto"/>
      </w:pPr>
      <w:r>
        <w:rPr>
          <w:color w:val="5F7180"/>
        </w:rPr>
        <w:t>A tighter, more credible version of the original script for recorded or live use.</w:t>
      </w:r>
    </w:p>
    <w:p w14:paraId="4F0492F6" w14:textId="77777777" w:rsidR="00997D86" w:rsidRDefault="00997D86">
      <w:pPr>
        <w:pBdr>
          <w:bottom w:val="single" w:sz="10" w:space="1" w:color="00A7A5"/>
        </w:pBdr>
        <w:spacing w:after="120" w:line="240" w:lineRule="auto"/>
      </w:pPr>
    </w:p>
    <w:p w14:paraId="7D86B763" w14:textId="77777777" w:rsidR="00997D86" w:rsidRDefault="00EF2659">
      <w:pPr>
        <w:spacing w:after="40" w:line="240" w:lineRule="auto"/>
      </w:pPr>
      <w:r>
        <w:rPr>
          <w:b/>
          <w:color w:val="087F80"/>
          <w:sz w:val="18"/>
        </w:rPr>
        <w:t xml:space="preserve">HOST 1  </w:t>
      </w:r>
      <w:r>
        <w:rPr>
          <w:sz w:val="19"/>
        </w:rPr>
        <w:t>Welcome to today’s business overview. We’re taking a closer look at TRA, a government-recovery platform that reports more than seven years of experience helping clients pursue complex recovery opportunities.</w:t>
      </w:r>
    </w:p>
    <w:p w14:paraId="343650DE" w14:textId="77777777" w:rsidR="00997D86" w:rsidRDefault="00EF2659">
      <w:pPr>
        <w:spacing w:after="40" w:line="240" w:lineRule="auto"/>
      </w:pPr>
      <w:r>
        <w:rPr>
          <w:b/>
          <w:color w:val="087F80"/>
          <w:sz w:val="18"/>
        </w:rPr>
        <w:t xml:space="preserve">HOST 2  </w:t>
      </w:r>
      <w:r>
        <w:rPr>
          <w:sz w:val="19"/>
        </w:rPr>
        <w:t>TRA’s focus is especially relevant for importers and customs brokers navigating IEEPA-related tariff refund matters. The company provides an end-to-end platform designed to support the process from calculations and documentation through tracking, processing, and recovery.</w:t>
      </w:r>
    </w:p>
    <w:p w14:paraId="22C930E3" w14:textId="77777777" w:rsidR="00997D86" w:rsidRDefault="00EF2659">
      <w:pPr>
        <w:spacing w:after="40" w:line="240" w:lineRule="auto"/>
      </w:pPr>
      <w:r>
        <w:rPr>
          <w:b/>
          <w:color w:val="087F80"/>
          <w:sz w:val="18"/>
        </w:rPr>
        <w:t xml:space="preserve">HOST 1  </w:t>
      </w:r>
      <w:r>
        <w:rPr>
          <w:sz w:val="19"/>
        </w:rPr>
        <w:t>Many brokers may already be comfortable with straightforward filings. TRA’s value becomes more apparent when the matter gets complicated - for example, reconciliation work, high-volume cases, or matters requiring CIT-related escalation support.</w:t>
      </w:r>
    </w:p>
    <w:p w14:paraId="1B653EF2" w14:textId="77777777" w:rsidR="00997D86" w:rsidRDefault="00EF2659">
      <w:pPr>
        <w:spacing w:after="40" w:line="240" w:lineRule="auto"/>
      </w:pPr>
      <w:r>
        <w:rPr>
          <w:b/>
          <w:color w:val="087F80"/>
          <w:sz w:val="18"/>
        </w:rPr>
        <w:t xml:space="preserve">HOST 2  </w:t>
      </w:r>
      <w:r>
        <w:rPr>
          <w:sz w:val="19"/>
        </w:rPr>
        <w:t>The platform is also designed to function as a backend resource for customs brokers. Instead of adding a major administrative workload, brokers can use dedicated portal technology to help organize and support complex client recovery matters.</w:t>
      </w:r>
    </w:p>
    <w:p w14:paraId="162C9286" w14:textId="77777777" w:rsidR="00997D86" w:rsidRDefault="00EF2659">
      <w:pPr>
        <w:spacing w:after="40" w:line="240" w:lineRule="auto"/>
      </w:pPr>
      <w:r>
        <w:rPr>
          <w:b/>
          <w:color w:val="087F80"/>
          <w:sz w:val="18"/>
        </w:rPr>
        <w:t xml:space="preserve">HOST 1  </w:t>
      </w:r>
      <w:r>
        <w:rPr>
          <w:sz w:val="19"/>
        </w:rPr>
        <w:t>TRA also reports substantial professional depth, including a team of 300 CPAs who perform calculations and review matters before processing.</w:t>
      </w:r>
    </w:p>
    <w:p w14:paraId="46FDD288" w14:textId="77777777" w:rsidR="00997D86" w:rsidRDefault="00EF2659">
      <w:pPr>
        <w:spacing w:after="40" w:line="240" w:lineRule="auto"/>
      </w:pPr>
      <w:r>
        <w:rPr>
          <w:b/>
          <w:color w:val="087F80"/>
          <w:sz w:val="18"/>
        </w:rPr>
        <w:t xml:space="preserve">HOST 2  </w:t>
      </w:r>
      <w:r>
        <w:rPr>
          <w:sz w:val="19"/>
        </w:rPr>
        <w:t>Another key feature is optional advance funding. TRA reports that roughly 80% of its importer clients choose some form of advance funding, giving qualifying businesses the ability to access liquidity for working capital, payroll, or other operating needs while the recovery process moves forward.</w:t>
      </w:r>
    </w:p>
    <w:p w14:paraId="1282798F" w14:textId="77777777" w:rsidR="00997D86" w:rsidRDefault="00EF2659">
      <w:pPr>
        <w:spacing w:after="40" w:line="240" w:lineRule="auto"/>
      </w:pPr>
      <w:r>
        <w:rPr>
          <w:b/>
          <w:color w:val="087F80"/>
          <w:sz w:val="18"/>
        </w:rPr>
        <w:t xml:space="preserve">HOST 1  </w:t>
      </w:r>
      <w:r>
        <w:rPr>
          <w:sz w:val="19"/>
        </w:rPr>
        <w:t>The result is a single platform combining professional support, technology, visibility, complex-case assistance, and optional liquidity - built to help importers and customs brokers navigate a recovery process that can otherwise become time-consuming and difficult to manage.</w:t>
      </w:r>
    </w:p>
    <w:p w14:paraId="327E27BC" w14:textId="77777777" w:rsidR="00997D86" w:rsidRDefault="00EF2659">
      <w:pPr>
        <w:spacing w:after="40" w:line="240" w:lineRule="auto"/>
      </w:pPr>
      <w:r>
        <w:rPr>
          <w:b/>
          <w:color w:val="087F80"/>
          <w:sz w:val="18"/>
        </w:rPr>
        <w:t xml:space="preserve">HOST 2  </w:t>
      </w:r>
      <w:r>
        <w:rPr>
          <w:sz w:val="19"/>
        </w:rPr>
        <w:t>For importers with significant tariff exposure - or customs brokers looking for a scalable backend resource - TRA is positioned as a recovery partner worth evaluating.</w:t>
      </w:r>
    </w:p>
    <w:p w14:paraId="2CC72766" w14:textId="77777777" w:rsidR="00997D86" w:rsidRDefault="00EF2659">
      <w:pPr>
        <w:spacing w:before="160" w:after="60" w:line="240" w:lineRule="auto"/>
      </w:pPr>
      <w:r>
        <w:rPr>
          <w:b/>
          <w:color w:val="0B1F33"/>
          <w:sz w:val="28"/>
        </w:rPr>
        <w:t>Resources &amp; Next Step</w:t>
      </w:r>
    </w:p>
    <w:tbl>
      <w:tblPr>
        <w:tblW w:w="0" w:type="auto"/>
        <w:jc w:val="center"/>
        <w:tblLook w:val="04A0" w:firstRow="1" w:lastRow="0" w:firstColumn="1" w:lastColumn="0" w:noHBand="0" w:noVBand="1"/>
      </w:tblPr>
      <w:tblGrid>
        <w:gridCol w:w="10454"/>
      </w:tblGrid>
      <w:tr w:rsidR="00997D86" w14:paraId="73EE032C" w14:textId="77777777">
        <w:trPr>
          <w:cantSplit/>
          <w:jc w:val="center"/>
        </w:trPr>
        <w:tc>
          <w:tcPr>
            <w:tcW w:w="10454" w:type="dxa"/>
            <w:shd w:val="clear" w:color="auto" w:fill="0B1F33"/>
            <w:tcMar>
              <w:top w:w="170" w:type="dxa"/>
              <w:left w:w="190" w:type="dxa"/>
              <w:bottom w:w="170" w:type="dxa"/>
              <w:right w:w="190" w:type="dxa"/>
            </w:tcMar>
          </w:tcPr>
          <w:p w14:paraId="6F3F2E32" w14:textId="77777777" w:rsidR="00997D86" w:rsidRDefault="00EF2659">
            <w:pPr>
              <w:spacing w:after="80" w:line="240" w:lineRule="auto"/>
            </w:pPr>
            <w:r>
              <w:rPr>
                <w:b/>
                <w:color w:val="FFFFFF"/>
                <w:sz w:val="23"/>
              </w:rPr>
              <w:t>Review the importer recovery opportunity</w:t>
            </w:r>
          </w:p>
          <w:p w14:paraId="65DC3291" w14:textId="77777777" w:rsidR="00997D86" w:rsidRDefault="00EF2659">
            <w:pPr>
              <w:spacing w:after="40" w:line="240" w:lineRule="auto"/>
            </w:pPr>
            <w:hyperlink r:id="rId8">
              <w:r>
                <w:rPr>
                  <w:color w:val="62D9D6"/>
                  <w:u w:val="single"/>
                </w:rPr>
                <w:t>Tariff Solutions Group - Importer Overview</w:t>
              </w:r>
            </w:hyperlink>
          </w:p>
          <w:p w14:paraId="4B8CCF00" w14:textId="77777777" w:rsidR="00997D86" w:rsidRDefault="00EF2659">
            <w:pPr>
              <w:spacing w:after="40" w:line="240" w:lineRule="auto"/>
            </w:pPr>
            <w:hyperlink r:id="rId9" w:anchor="top">
              <w:r>
                <w:rPr>
                  <w:color w:val="F5D77E"/>
                  <w:u w:val="single"/>
                </w:rPr>
                <w:t>Tariff Refund Solutions - Importer Review</w:t>
              </w:r>
            </w:hyperlink>
          </w:p>
        </w:tc>
      </w:tr>
    </w:tbl>
    <w:p w14:paraId="0CFC9677" w14:textId="77777777" w:rsidR="00997D86" w:rsidRDefault="00EF2659">
      <w:pPr>
        <w:spacing w:before="140" w:after="40" w:line="240" w:lineRule="auto"/>
      </w:pPr>
      <w:r>
        <w:rPr>
          <w:b/>
          <w:color w:val="0B1F33"/>
        </w:rPr>
        <w:t>Terminology &amp; Use Note</w:t>
      </w:r>
    </w:p>
    <w:p w14:paraId="512500DC" w14:textId="77777777" w:rsidR="00997D86" w:rsidRDefault="00EF2659">
      <w:pPr>
        <w:spacing w:after="40" w:line="252" w:lineRule="auto"/>
      </w:pPr>
      <w:r>
        <w:rPr>
          <w:color w:val="5F7180"/>
          <w:sz w:val="16"/>
        </w:rPr>
        <w:t>IEEPA = International Emergency Economic Powers Act. CIT = U.S. Court of International Trade. This overview is a business-development summary, not legal, tax, customs, banking, or investment advice. Specific eligibility, recovery amounts, filing pathways, legal strategies, professional staffing, fees, timelines, funding terms, and partner relationships should be confirmed directly with TRA and the appropriate licensed professionals before being represented to a prospect or client.</w:t>
      </w:r>
    </w:p>
    <w:sectPr w:rsidR="00997D86" w:rsidSect="00034616">
      <w:headerReference w:type="default" r:id="rId10"/>
      <w:footerReference w:type="default" r:id="rId11"/>
      <w:pgSz w:w="12240" w:h="15840"/>
      <w:pgMar w:top="792" w:right="893" w:bottom="792"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EB552" w14:textId="77777777" w:rsidR="00EF2659" w:rsidRDefault="00EF2659">
      <w:pPr>
        <w:spacing w:after="0" w:line="240" w:lineRule="auto"/>
      </w:pPr>
      <w:r>
        <w:separator/>
      </w:r>
    </w:p>
  </w:endnote>
  <w:endnote w:type="continuationSeparator" w:id="0">
    <w:p w14:paraId="2BCC69DB" w14:textId="77777777" w:rsidR="00EF2659" w:rsidRDefault="00EF2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E0D5C" w14:textId="77777777" w:rsidR="00997D86" w:rsidRDefault="00997D86">
    <w:pPr>
      <w:pStyle w:val="Footer"/>
    </w:pPr>
  </w:p>
  <w:tbl>
    <w:tblPr>
      <w:tblW w:w="0" w:type="auto"/>
      <w:jc w:val="center"/>
      <w:tblLook w:val="04A0" w:firstRow="1" w:lastRow="0" w:firstColumn="1" w:lastColumn="0" w:noHBand="0" w:noVBand="1"/>
    </w:tblPr>
    <w:tblGrid>
      <w:gridCol w:w="5227"/>
      <w:gridCol w:w="5227"/>
    </w:tblGrid>
    <w:tr w:rsidR="00997D86" w14:paraId="2B5AF356" w14:textId="77777777">
      <w:trPr>
        <w:jc w:val="center"/>
      </w:trPr>
      <w:tc>
        <w:tcPr>
          <w:tcW w:w="5227" w:type="dxa"/>
          <w:tcBorders>
            <w:top w:val="single" w:sz="6" w:space="0" w:color="D8E4E9"/>
          </w:tcBorders>
          <w:tcMar>
            <w:top w:w="40" w:type="dxa"/>
            <w:left w:w="0" w:type="dxa"/>
            <w:bottom w:w="0" w:type="dxa"/>
            <w:right w:w="0" w:type="dxa"/>
          </w:tcMar>
        </w:tcPr>
        <w:p w14:paraId="26935632" w14:textId="77777777" w:rsidR="00997D86" w:rsidRDefault="00EF2659">
          <w:pPr>
            <w:spacing w:after="0" w:line="240" w:lineRule="auto"/>
          </w:pPr>
          <w:r>
            <w:rPr>
              <w:color w:val="5F7180"/>
              <w:sz w:val="15"/>
            </w:rPr>
            <w:t>Government Recovery | IEEPA Tariff Claims | Broker Support | Funding</w:t>
          </w:r>
        </w:p>
      </w:tc>
      <w:tc>
        <w:tcPr>
          <w:tcW w:w="5227" w:type="dxa"/>
          <w:tcBorders>
            <w:top w:val="single" w:sz="6" w:space="0" w:color="D8E4E9"/>
          </w:tcBorders>
          <w:tcMar>
            <w:top w:w="40" w:type="dxa"/>
            <w:left w:w="0" w:type="dxa"/>
            <w:bottom w:w="0" w:type="dxa"/>
            <w:right w:w="0" w:type="dxa"/>
          </w:tcMar>
        </w:tcPr>
        <w:p w14:paraId="7D5E727C" w14:textId="77777777" w:rsidR="00997D86" w:rsidRDefault="00EF2659">
          <w:pPr>
            <w:spacing w:after="0" w:line="240" w:lineRule="auto"/>
            <w:jc w:val="right"/>
          </w:pPr>
          <w:r>
            <w:rPr>
              <w:color w:val="5F7180"/>
              <w:sz w:val="15"/>
            </w:rPr>
            <w:t>Prepared for business development use</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4DC80" w14:textId="77777777" w:rsidR="00EF2659" w:rsidRDefault="00EF2659">
      <w:pPr>
        <w:spacing w:after="0" w:line="240" w:lineRule="auto"/>
      </w:pPr>
      <w:r>
        <w:separator/>
      </w:r>
    </w:p>
  </w:footnote>
  <w:footnote w:type="continuationSeparator" w:id="0">
    <w:p w14:paraId="3F8C58FF" w14:textId="77777777" w:rsidR="00EF2659" w:rsidRDefault="00EF26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3BB99" w14:textId="77777777" w:rsidR="00997D86" w:rsidRDefault="00997D86">
    <w:pPr>
      <w:pStyle w:val="Header"/>
    </w:pPr>
  </w:p>
  <w:tbl>
    <w:tblPr>
      <w:tblW w:w="0" w:type="auto"/>
      <w:jc w:val="center"/>
      <w:tblLook w:val="04A0" w:firstRow="1" w:lastRow="0" w:firstColumn="1" w:lastColumn="0" w:noHBand="0" w:noVBand="1"/>
    </w:tblPr>
    <w:tblGrid>
      <w:gridCol w:w="5227"/>
      <w:gridCol w:w="5227"/>
    </w:tblGrid>
    <w:tr w:rsidR="00997D86" w14:paraId="3EAEEEC9" w14:textId="77777777">
      <w:trPr>
        <w:jc w:val="center"/>
      </w:trPr>
      <w:tc>
        <w:tcPr>
          <w:tcW w:w="5227" w:type="dxa"/>
          <w:tcBorders>
            <w:bottom w:val="single" w:sz="8" w:space="0" w:color="00A7A5"/>
          </w:tcBorders>
          <w:tcMar>
            <w:top w:w="0" w:type="dxa"/>
            <w:left w:w="0" w:type="dxa"/>
            <w:bottom w:w="30" w:type="dxa"/>
            <w:right w:w="0" w:type="dxa"/>
          </w:tcMar>
        </w:tcPr>
        <w:p w14:paraId="2540A3D7" w14:textId="77777777" w:rsidR="00997D86" w:rsidRDefault="00EF2659">
          <w:pPr>
            <w:spacing w:after="0" w:line="240" w:lineRule="auto"/>
          </w:pPr>
          <w:proofErr w:type="gramStart"/>
          <w:r>
            <w:rPr>
              <w:b/>
              <w:color w:val="0B1F33"/>
              <w:sz w:val="17"/>
            </w:rPr>
            <w:t>TRA  |</w:t>
          </w:r>
          <w:proofErr w:type="gramEnd"/>
          <w:r>
            <w:rPr>
              <w:b/>
              <w:color w:val="0B1F33"/>
              <w:sz w:val="17"/>
            </w:rPr>
            <w:t xml:space="preserve">  TARIFF REFUND AGENCY</w:t>
          </w:r>
        </w:p>
      </w:tc>
      <w:tc>
        <w:tcPr>
          <w:tcW w:w="5227" w:type="dxa"/>
          <w:tcBorders>
            <w:bottom w:val="single" w:sz="8" w:space="0" w:color="00A7A5"/>
          </w:tcBorders>
          <w:tcMar>
            <w:top w:w="0" w:type="dxa"/>
            <w:left w:w="0" w:type="dxa"/>
            <w:bottom w:w="30" w:type="dxa"/>
            <w:right w:w="0" w:type="dxa"/>
          </w:tcMar>
        </w:tcPr>
        <w:p w14:paraId="3BDA3EFB" w14:textId="77777777" w:rsidR="00997D86" w:rsidRDefault="00EF2659">
          <w:pPr>
            <w:spacing w:after="0" w:line="240" w:lineRule="auto"/>
            <w:jc w:val="right"/>
          </w:pPr>
          <w:r>
            <w:rPr>
              <w:b/>
              <w:color w:val="5F7180"/>
              <w:sz w:val="16"/>
            </w:rPr>
            <w:t>EXECUTIVE OVERVIEW</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84757825">
    <w:abstractNumId w:val="8"/>
  </w:num>
  <w:num w:numId="2" w16cid:durableId="1295601986">
    <w:abstractNumId w:val="6"/>
  </w:num>
  <w:num w:numId="3" w16cid:durableId="1905027272">
    <w:abstractNumId w:val="5"/>
  </w:num>
  <w:num w:numId="4" w16cid:durableId="1256670798">
    <w:abstractNumId w:val="4"/>
  </w:num>
  <w:num w:numId="5" w16cid:durableId="1756171738">
    <w:abstractNumId w:val="7"/>
  </w:num>
  <w:num w:numId="6" w16cid:durableId="90048373">
    <w:abstractNumId w:val="3"/>
  </w:num>
  <w:num w:numId="7" w16cid:durableId="1528062654">
    <w:abstractNumId w:val="2"/>
  </w:num>
  <w:num w:numId="8" w16cid:durableId="588196565">
    <w:abstractNumId w:val="1"/>
  </w:num>
  <w:num w:numId="9" w16cid:durableId="1143499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997D86"/>
    <w:rsid w:val="00AA1D8D"/>
    <w:rsid w:val="00B47730"/>
    <w:rsid w:val="00B82231"/>
    <w:rsid w:val="00CB0664"/>
    <w:rsid w:val="00D04CC7"/>
    <w:rsid w:val="00EF265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69CF1"/>
  <w14:defaultImageDpi w14:val="300"/>
  <w15:docId w15:val="{DADDDC95-60A2-454E-8665-D92C27393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63746"/>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B1F3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2324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riffsolutionsgroup.com/lp/importers?ref=ce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ariffrefun-gem5dwup.manus.space/?code=bJFfMQnZ5C5SEjNwzorMW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1045</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TRA's End-to-End Tariff Recovery &amp; Funding Platform</dc:title>
  <dc:subject>Executive overview for importers and customs brokers</dc:subject>
  <dc:creator>Dreams Business Resources</dc:creator>
  <cp:keywords>TRA, tariff refund, IEEPA, customs broker, importer, advance funding, CIT</cp:keywords>
  <dc:description>generated by python-docx</dc:description>
  <cp:lastModifiedBy>Mike Hinsvark</cp:lastModifiedBy>
  <cp:revision>2</cp:revision>
  <dcterms:created xsi:type="dcterms:W3CDTF">2026-09-05T15:12:00Z</dcterms:created>
  <dcterms:modified xsi:type="dcterms:W3CDTF">2026-09-05T15:12:00Z</dcterms:modified>
  <cp:category/>
</cp:coreProperties>
</file>